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建始县教育局2020年半年工作总结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县教育局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（2020年7月12日）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sz w:val="32"/>
          <w:szCs w:val="32"/>
          <w:lang w:val="en-US" w:eastAsia="zh-CN"/>
        </w:rPr>
        <w:t>2020年上半年，全县教育工作坚持以习近平新时达中国特色社会主义思想为指导，</w:t>
      </w:r>
      <w:r>
        <w:rPr>
          <w:rFonts w:hint="eastAsia" w:ascii="仿宋_GB2312" w:hAnsi="仿宋_GB2312" w:eastAsia="仿宋_GB2312" w:cs="仿宋_GB2312"/>
          <w:color w:val="000000"/>
          <w:sz w:val="32"/>
          <w:szCs w:val="32"/>
        </w:rPr>
        <w:t>全面贯彻党的十九大和十九届二中、三中、四中全会精神，贯彻落实习近平总书记关于疫情防控系列重要讲话和重要指示批示精神，</w:t>
      </w:r>
      <w:r>
        <w:rPr>
          <w:rFonts w:hint="eastAsia" w:ascii="仿宋_GB2312" w:hAnsi="仿宋_GB2312" w:eastAsia="仿宋_GB2312" w:cs="仿宋_GB2312"/>
          <w:color w:val="000000"/>
          <w:sz w:val="32"/>
          <w:szCs w:val="32"/>
          <w:lang w:eastAsia="zh-CN"/>
        </w:rPr>
        <w:t>围绕各级党委政府的关于疫情防控要求的工作部署，确保教育事业稳定发展。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一、坚持从严治党，加强党对教育工作的全面领导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color w:val="000000"/>
          <w:sz w:val="32"/>
          <w:szCs w:val="32"/>
          <w:lang w:val="en-US" w:eastAsia="zh-CN"/>
        </w:rPr>
        <w:t xml:space="preserve">    （一）强化党员下沉基层作奉献。</w:t>
      </w: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b w:val="0"/>
          <w:bCs w:val="0"/>
          <w:sz w:val="32"/>
          <w:szCs w:val="32"/>
          <w:lang w:val="en-US" w:eastAsia="zh-CN"/>
        </w:rPr>
        <w:t>疫情期间局党委第一时间组织县教育局机关全体干部职工下沉一线，主动配合居住地社区（村）开展疫情防控工作。三支驻村尖刀班队伍及时进村开展工作，积极配合村支两委加强村里疫情防控。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选派一名党员干部入驻社区治理“尖刀班”。</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落实教育局机关支部、党员常态化下沉社区制度，全面深化“双报到、双报告”制度。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（二）落实三级联述联评联考工作。</w:t>
      </w:r>
      <w:r>
        <w:rPr>
          <w:rFonts w:hint="eastAsia" w:ascii="仿宋_GB2312" w:hAnsi="仿宋_GB2312" w:eastAsia="仿宋_GB2312" w:cs="仿宋_GB2312"/>
          <w:b w:val="0"/>
          <w:bCs w:val="0"/>
          <w:sz w:val="32"/>
          <w:szCs w:val="32"/>
          <w:lang w:val="en-US" w:eastAsia="zh-CN"/>
        </w:rPr>
        <w:t>6月29日局党委召开教育系统2019年三级联述联评联考述职评议会，听取各中心学校党总支、县直学校（园）党支部书记抓党建工作专项述职，增强建始县教育系统党建工作的针对性和实效性，全面落实党支部书记管党治党的责任，进一步明确工作目标、理清工作思路、完善工作举措，切实加强和改进了新形势下教育系统的党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lang w:val="en-US" w:eastAsia="zh-CN"/>
        </w:rPr>
        <w:t>（三）严格落实意识形态工作。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落实意识形态工作责任制。严格落实意识形态工作“五纳入三报告”制度，健全责任体系，制定意识形态责任清单，层层建立意识形态工作领导机制，形成封闭式责任链条。每月召开意识形态领域风险研判会，全面排查教育系统意识形态风险。2020年上半年，局党委专题研究意识形态工作2次，向州教育局报告意识形态工作1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认真落实党委理论学习中心组学习制度。截止目前，已开展集中学习4次；全面推进“学习强国”APP学习，不断促进所有职工的理论进步，努力打造学习型机关。</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加强新闻宣传工作，规范自媒体管理。上半年，全县教育系统推送新闻国家级22篇、省级12篇、州级48篇、县级48篇。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（四）充分发挥党组织战斗堡垒及党员先锋模范作用。</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为庆祝建党99周年，局党委表扬了一批红旗党支部和先锋共产党员。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从2020年7月起，在教育系统开展为期一年的“党员先行·关爱学生”活动，组织全县教育系统党员教师在关爱学生的工作中充分发挥先锋模范作用。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00000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（五）扎实落实党风廉政建设工作。</w:t>
      </w:r>
      <w:r>
        <w:rPr>
          <w:rFonts w:hint="eastAsia" w:ascii="仿宋_GB2312" w:hAnsi="仿宋_GB2312" w:eastAsia="仿宋_GB2312" w:cs="仿宋_GB2312"/>
          <w:b w:val="0"/>
          <w:bCs w:val="0"/>
          <w:sz w:val="32"/>
          <w:szCs w:val="32"/>
          <w:lang w:val="en-US" w:eastAsia="zh-CN"/>
        </w:rPr>
        <w:t>贯彻落实中共建始县第十五届纪委五次全会精神，切实抓好全县教育系统党风廉政建设，进一步夯实“两个责任”，优化教育环境，强化担当作为，坚定不移把全面从严治党引向深入。强化执纪问责，树立行业新风，充分运用“第一种形态”纠正苗头，把廉政教育工作常态化。创新监督方式，建设“清廉学校”，为全县教育高质量发展提供坚强的纪律作风保障，建设风清气正的教育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二、强化疫情防控，积极推进网络教学和复学复课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（一）积极落实“停课不停学”网络教学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b/>
          <w:bCs/>
          <w:sz w:val="32"/>
          <w:szCs w:val="32"/>
          <w:lang w:val="en-US" w:eastAsia="zh-CN"/>
        </w:rPr>
        <w:t>1.抓实常规网络教育教学网。</w:t>
      </w:r>
      <w:r>
        <w:rPr>
          <w:rFonts w:hint="eastAsia" w:ascii="仿宋_GB2312" w:hAnsi="仿宋" w:eastAsia="仿宋_GB2312" w:cs="仿宋"/>
          <w:sz w:val="32"/>
          <w:szCs w:val="32"/>
        </w:rPr>
        <w:t>为切实保障师生生命安全和身体健康，确保全县各级各类学校（园）疫情防控期间“停课不停教、不停学”，发挥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互联网+教育</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的优势，通过网络、PC终端、移动终端等通信工具，开展网络直播教学、在线答疑，引导学生自主学习，提升师生信息素养。在网络教学中，将疫情防控和文化教学相结合，组织学生开展疫情征文大赛、书画大赛、教师网络教学技能竞赛及师生美篇制作大赛。开展网上爱国主义教育，举办网上哀悼活动和升旗仪式。</w:t>
      </w:r>
      <w:r>
        <w:rPr>
          <w:rFonts w:hint="eastAsia" w:ascii="仿宋_GB2312" w:hAnsi="仿宋" w:eastAsia="仿宋_GB2312" w:cs="仿宋"/>
          <w:sz w:val="32"/>
          <w:szCs w:val="32"/>
          <w:lang w:eastAsia="zh-CN"/>
        </w:rPr>
        <w:t>开展</w:t>
      </w:r>
      <w:r>
        <w:rPr>
          <w:rFonts w:hint="eastAsia" w:ascii="仿宋_GB2312" w:hAnsi="仿宋" w:eastAsia="仿宋_GB2312" w:cs="仿宋"/>
          <w:sz w:val="32"/>
          <w:szCs w:val="32"/>
        </w:rPr>
        <w:t>学生心理健康教育，组织网络</w:t>
      </w:r>
      <w:r>
        <w:rPr>
          <w:rFonts w:hint="eastAsia" w:ascii="仿宋_GB2312" w:hAnsi="仿宋" w:eastAsia="仿宋_GB2312" w:cs="仿宋"/>
          <w:sz w:val="32"/>
          <w:szCs w:val="32"/>
          <w:lang w:eastAsia="zh-CN"/>
        </w:rPr>
        <w:t>和入户相结合的</w:t>
      </w:r>
      <w:r>
        <w:rPr>
          <w:rFonts w:hint="eastAsia" w:ascii="仿宋_GB2312" w:hAnsi="仿宋" w:eastAsia="仿宋_GB2312" w:cs="仿宋"/>
          <w:sz w:val="32"/>
          <w:szCs w:val="32"/>
        </w:rPr>
        <w:t>家访活动，收到了良好的效果。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 xml:space="preserve">    2.开展疫情防控常态化条件下教研活动。一是</w:t>
      </w:r>
      <w:r>
        <w:rPr>
          <w:rFonts w:hint="eastAsia" w:ascii="仿宋_GB2312" w:hAnsi="仿宋" w:eastAsia="仿宋_GB2312" w:cs="仿宋"/>
          <w:sz w:val="32"/>
          <w:szCs w:val="32"/>
        </w:rPr>
        <w:t>举行网络赛课，促进教师成长。为了推进课堂教学改革，提升教师的信息化应运能力，检验全县中小学教师的网络教学水平，3月30日至4月8日，我县举办了中小学网络赛课。共12个学科，144名选手参赛</w:t>
      </w:r>
      <w:r>
        <w:rPr>
          <w:rFonts w:hint="eastAsia" w:ascii="仿宋_GB2312" w:hAnsi="仿宋" w:eastAsia="仿宋_GB2312" w:cs="仿宋"/>
          <w:sz w:val="32"/>
          <w:szCs w:val="32"/>
          <w:lang w:eastAsia="zh-CN"/>
        </w:rPr>
        <w:t>。</w:t>
      </w:r>
      <w:r>
        <w:rPr>
          <w:rFonts w:hint="eastAsia" w:ascii="仿宋_GB2312" w:hAnsi="仿宋" w:eastAsia="仿宋_GB2312" w:cs="仿宋"/>
          <w:b/>
          <w:bCs/>
          <w:sz w:val="32"/>
          <w:szCs w:val="32"/>
          <w:lang w:eastAsia="zh-CN"/>
        </w:rPr>
        <w:t>二是</w:t>
      </w:r>
      <w:r>
        <w:rPr>
          <w:rFonts w:hint="eastAsia" w:ascii="仿宋_GB2312" w:hAnsi="仿宋_GB2312" w:eastAsia="仿宋_GB2312" w:cs="仿宋_GB2312"/>
          <w:b w:val="0"/>
          <w:bCs/>
          <w:sz w:val="32"/>
          <w:szCs w:val="32"/>
        </w:rPr>
        <w:t>评选优秀网络直播教师，全面提高网络教学水平。进一步推进我县网络教学，促进信息技术与教育教学的深度融合，激发教师参与网络直播教学的热情充分发挥优秀教师的引领示范作用。</w:t>
      </w:r>
      <w:r>
        <w:rPr>
          <w:rFonts w:hint="eastAsia" w:ascii="仿宋_GB2312" w:hAnsi="仿宋_GB2312" w:eastAsia="仿宋_GB2312" w:cs="仿宋_GB2312"/>
          <w:b/>
          <w:bCs w:val="0"/>
          <w:sz w:val="32"/>
          <w:szCs w:val="32"/>
          <w:lang w:eastAsia="zh-CN"/>
        </w:rPr>
        <w:t>三是</w:t>
      </w:r>
      <w:r>
        <w:rPr>
          <w:rFonts w:hint="eastAsia" w:ascii="仿宋_GB2312" w:hAnsi="仿宋_GB2312" w:eastAsia="仿宋_GB2312" w:cs="仿宋_GB2312"/>
          <w:b w:val="0"/>
          <w:bCs/>
          <w:sz w:val="32"/>
          <w:szCs w:val="32"/>
        </w:rPr>
        <w:t>成立小学骨干教师团队。为了促进全县广大小学教师专业成长，提高教书育人的水平，整体提升我县小学教育质量，由各学科教研员牵头成立了骨干教师团队，通过任务驱动的方式培养一批学科骨干。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有序推进复学复课工作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bCs/>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w:t>
      </w:r>
      <w:r>
        <w:rPr>
          <w:rFonts w:hint="eastAsia" w:ascii="仿宋_GB2312" w:hAnsi="仿宋" w:eastAsia="仿宋_GB2312" w:cs="仿宋"/>
          <w:sz w:val="32"/>
          <w:szCs w:val="32"/>
          <w:lang w:val="en-US" w:eastAsia="zh-CN"/>
        </w:rPr>
        <w:t>在省州疫情防控指挥部统一部署下，我县高三年级于5月6日首批复学，初三年级于5月20日复学，初二年级6月30日复学，普通高中高一高二年级7月10复学。复学复课期间，由县委县政府复学复课工作专班指导全县各学段复学复课工作，通过复学前严格督查验收，复学后专班驻校指导等措施，实现了分段有序复学，保证了安全健康复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（三）抓实学生心理疏导干预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新冠疫情防控期间，</w:t>
      </w:r>
      <w:r>
        <w:rPr>
          <w:rFonts w:hint="eastAsia" w:ascii="仿宋_GB2312" w:hAnsi="仿宋_GB2312" w:eastAsia="仿宋_GB2312" w:cs="仿宋_GB2312"/>
          <w:color w:val="000000"/>
          <w:sz w:val="32"/>
          <w:szCs w:val="32"/>
        </w:rPr>
        <w:t>高度关注网络教学期间学生心理健康问题，安排教师家访全覆盖，复学后教师与学生谈心谈话全覆盖，健全学生心理健康状况监测报告制度，加强对学生心理状况的排查，对学生心理问题做到早干预、早疏导。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提高保障能力，稳步推进教育事业持续向好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全面落实学生资助工作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春</w:t>
      </w:r>
      <w:r>
        <w:rPr>
          <w:rFonts w:hint="eastAsia" w:ascii="仿宋_GB2312" w:hAnsi="仿宋_GB2312" w:eastAsia="仿宋_GB2312" w:cs="仿宋_GB2312"/>
          <w:color w:val="000000"/>
          <w:sz w:val="32"/>
          <w:szCs w:val="32"/>
        </w:rPr>
        <w:t>季学期我县家庭经济困难学生资助资金</w:t>
      </w:r>
      <w:r>
        <w:rPr>
          <w:rFonts w:hint="eastAsia" w:ascii="仿宋_GB2312" w:hAnsi="仿宋_GB2312" w:eastAsia="仿宋_GB2312" w:cs="仿宋_GB2312"/>
          <w:color w:val="000000"/>
          <w:sz w:val="32"/>
          <w:szCs w:val="32"/>
          <w:lang w:eastAsia="zh-CN"/>
        </w:rPr>
        <w:t>已全部发放到位</w:t>
      </w:r>
      <w:r>
        <w:rPr>
          <w:rFonts w:hint="eastAsia" w:ascii="仿宋_GB2312" w:hAnsi="仿宋_GB2312" w:eastAsia="仿宋_GB2312" w:cs="仿宋_GB2312"/>
          <w:color w:val="000000"/>
          <w:sz w:val="32"/>
          <w:szCs w:val="32"/>
        </w:rPr>
        <w:t>。学前教育阶段，共20</w:t>
      </w:r>
      <w:r>
        <w:rPr>
          <w:rFonts w:hint="eastAsia" w:ascii="仿宋_GB2312" w:hAnsi="仿宋_GB2312" w:eastAsia="仿宋_GB2312" w:cs="仿宋_GB2312"/>
          <w:color w:val="000000"/>
          <w:sz w:val="32"/>
          <w:szCs w:val="32"/>
          <w:lang w:val="en-US" w:eastAsia="zh-CN"/>
        </w:rPr>
        <w:t>93</w:t>
      </w:r>
      <w:r>
        <w:rPr>
          <w:rFonts w:hint="eastAsia" w:ascii="仿宋_GB2312" w:hAnsi="仿宋_GB2312" w:eastAsia="仿宋_GB2312" w:cs="仿宋_GB2312"/>
          <w:color w:val="000000"/>
          <w:sz w:val="32"/>
          <w:szCs w:val="32"/>
        </w:rPr>
        <w:t>人次建档立卡学生</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rPr>
        <w:t>享受资助资金10</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万元；义务教育阶段，共</w:t>
      </w:r>
      <w:r>
        <w:rPr>
          <w:rFonts w:hint="eastAsia" w:ascii="仿宋_GB2312" w:hAnsi="仿宋_GB2312" w:eastAsia="仿宋_GB2312" w:cs="仿宋_GB2312"/>
          <w:color w:val="000000"/>
          <w:sz w:val="32"/>
          <w:szCs w:val="32"/>
          <w:lang w:val="en-US" w:eastAsia="zh-CN"/>
        </w:rPr>
        <w:t>12792</w:t>
      </w:r>
      <w:r>
        <w:rPr>
          <w:rFonts w:hint="eastAsia" w:ascii="仿宋_GB2312" w:hAnsi="仿宋_GB2312" w:eastAsia="仿宋_GB2312" w:cs="仿宋_GB2312"/>
          <w:color w:val="000000"/>
          <w:sz w:val="32"/>
          <w:szCs w:val="32"/>
        </w:rPr>
        <w:t>人次建档立卡学生</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rPr>
        <w:t>享受资助资金</w:t>
      </w:r>
      <w:r>
        <w:rPr>
          <w:rFonts w:hint="eastAsia" w:ascii="仿宋_GB2312" w:hAnsi="仿宋_GB2312" w:eastAsia="仿宋_GB2312" w:cs="仿宋_GB2312"/>
          <w:color w:val="000000"/>
          <w:sz w:val="32"/>
          <w:szCs w:val="32"/>
          <w:lang w:val="en-US" w:eastAsia="zh-CN"/>
        </w:rPr>
        <w:t>738.925</w:t>
      </w:r>
      <w:r>
        <w:rPr>
          <w:rFonts w:hint="eastAsia" w:ascii="仿宋_GB2312" w:hAnsi="仿宋_GB2312" w:eastAsia="仿宋_GB2312" w:cs="仿宋_GB2312"/>
          <w:color w:val="000000"/>
          <w:sz w:val="32"/>
          <w:szCs w:val="32"/>
        </w:rPr>
        <w:t>万元；普通高中阶段，共2</w:t>
      </w:r>
      <w:r>
        <w:rPr>
          <w:rFonts w:hint="eastAsia" w:ascii="仿宋_GB2312" w:hAnsi="仿宋_GB2312" w:eastAsia="仿宋_GB2312" w:cs="仿宋_GB2312"/>
          <w:color w:val="000000"/>
          <w:sz w:val="32"/>
          <w:szCs w:val="32"/>
          <w:lang w:val="en-US" w:eastAsia="zh-CN"/>
        </w:rPr>
        <w:t>147</w:t>
      </w:r>
      <w:r>
        <w:rPr>
          <w:rFonts w:hint="eastAsia" w:ascii="仿宋_GB2312" w:hAnsi="仿宋_GB2312" w:eastAsia="仿宋_GB2312" w:cs="仿宋_GB2312"/>
          <w:color w:val="000000"/>
          <w:sz w:val="32"/>
          <w:szCs w:val="32"/>
        </w:rPr>
        <w:t>人次建档立卡学生</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rPr>
        <w:t>享受国家助学金3</w:t>
      </w:r>
      <w:r>
        <w:rPr>
          <w:rFonts w:hint="eastAsia" w:ascii="仿宋_GB2312" w:hAnsi="仿宋_GB2312" w:eastAsia="仿宋_GB2312" w:cs="仿宋_GB2312"/>
          <w:color w:val="000000"/>
          <w:sz w:val="32"/>
          <w:szCs w:val="32"/>
          <w:lang w:val="en-US" w:eastAsia="zh-CN"/>
        </w:rPr>
        <w:t>22.05</w:t>
      </w:r>
      <w:r>
        <w:rPr>
          <w:rFonts w:hint="eastAsia" w:ascii="仿宋_GB2312" w:hAnsi="仿宋_GB2312" w:eastAsia="仿宋_GB2312" w:cs="仿宋_GB2312"/>
          <w:color w:val="000000"/>
          <w:sz w:val="32"/>
          <w:szCs w:val="32"/>
        </w:rPr>
        <w:t>万元；中职教育阶段，一、二年级学生共</w:t>
      </w:r>
      <w:r>
        <w:rPr>
          <w:rFonts w:hint="eastAsia" w:ascii="仿宋_GB2312" w:hAnsi="仿宋_GB2312" w:eastAsia="仿宋_GB2312" w:cs="仿宋_GB2312"/>
          <w:color w:val="000000"/>
          <w:sz w:val="32"/>
          <w:szCs w:val="32"/>
          <w:lang w:val="en-US" w:eastAsia="zh-CN"/>
        </w:rPr>
        <w:t>2156</w:t>
      </w:r>
      <w:r>
        <w:rPr>
          <w:rFonts w:hint="eastAsia" w:ascii="仿宋_GB2312" w:hAnsi="仿宋_GB2312" w:eastAsia="仿宋_GB2312" w:cs="仿宋_GB2312"/>
          <w:color w:val="000000"/>
          <w:sz w:val="32"/>
          <w:szCs w:val="32"/>
        </w:rPr>
        <w:t>人次享受</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国家助学金，资助资金</w:t>
      </w:r>
      <w:r>
        <w:rPr>
          <w:rFonts w:hint="eastAsia" w:ascii="仿宋_GB2312" w:hAnsi="仿宋_GB2312" w:eastAsia="仿宋_GB2312" w:cs="仿宋_GB2312"/>
          <w:color w:val="000000"/>
          <w:sz w:val="32"/>
          <w:szCs w:val="32"/>
          <w:lang w:val="en-US" w:eastAsia="zh-CN"/>
        </w:rPr>
        <w:t>215.6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w:t>
      </w:r>
      <w:r>
        <w:rPr>
          <w:rFonts w:hint="eastAsia" w:ascii="仿宋_GB2312" w:hAnsi="仿宋_GB2312" w:eastAsia="仿宋_GB2312" w:cs="仿宋_GB2312"/>
          <w:color w:val="000000"/>
          <w:sz w:val="32"/>
          <w:szCs w:val="32"/>
        </w:rPr>
        <w:t>半年，全县共有1</w:t>
      </w:r>
      <w:r>
        <w:rPr>
          <w:rFonts w:hint="eastAsia" w:ascii="仿宋_GB2312" w:hAnsi="仿宋_GB2312" w:eastAsia="仿宋_GB2312" w:cs="仿宋_GB2312"/>
          <w:color w:val="000000"/>
          <w:sz w:val="32"/>
          <w:szCs w:val="32"/>
          <w:lang w:val="en-US" w:eastAsia="zh-CN"/>
        </w:rPr>
        <w:t>9188</w:t>
      </w:r>
      <w:r>
        <w:rPr>
          <w:rFonts w:hint="eastAsia" w:ascii="仿宋_GB2312" w:hAnsi="仿宋_GB2312" w:eastAsia="仿宋_GB2312" w:cs="仿宋_GB2312"/>
          <w:color w:val="000000"/>
          <w:sz w:val="32"/>
          <w:szCs w:val="32"/>
        </w:rPr>
        <w:t>人次家庭经济困难学生享受</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资助政策，累计发放</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资助资金1</w:t>
      </w:r>
      <w:r>
        <w:rPr>
          <w:rFonts w:hint="eastAsia" w:ascii="仿宋_GB2312" w:hAnsi="仿宋_GB2312" w:eastAsia="仿宋_GB2312" w:cs="仿宋_GB2312"/>
          <w:color w:val="000000"/>
          <w:sz w:val="32"/>
          <w:szCs w:val="32"/>
          <w:lang w:val="en-US" w:eastAsia="zh-CN"/>
        </w:rPr>
        <w:t>381.475</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为落实</w:t>
      </w:r>
      <w:r>
        <w:rPr>
          <w:rFonts w:hint="eastAsia" w:ascii="仿宋_GB2312" w:hAnsi="仿宋_GB2312" w:eastAsia="仿宋_GB2312" w:cs="仿宋_GB2312"/>
          <w:color w:val="000000"/>
          <w:sz w:val="32"/>
          <w:szCs w:val="32"/>
        </w:rPr>
        <w:t>建始籍州外就读学生</w:t>
      </w:r>
      <w:r>
        <w:rPr>
          <w:rFonts w:hint="eastAsia" w:ascii="仿宋_GB2312" w:hAnsi="仿宋_GB2312" w:eastAsia="仿宋_GB2312" w:cs="仿宋_GB2312"/>
          <w:color w:val="000000"/>
          <w:sz w:val="32"/>
          <w:szCs w:val="32"/>
          <w:lang w:eastAsia="zh-CN"/>
        </w:rPr>
        <w:t>资助政策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向在州外就读</w:t>
      </w:r>
      <w:r>
        <w:rPr>
          <w:rFonts w:hint="eastAsia" w:ascii="仿宋_GB2312" w:hAnsi="仿宋_GB2312" w:eastAsia="仿宋_GB2312" w:cs="仿宋_GB2312"/>
          <w:color w:val="000000"/>
          <w:sz w:val="32"/>
          <w:szCs w:val="32"/>
        </w:rPr>
        <w:t>学生</w:t>
      </w:r>
      <w:r>
        <w:rPr>
          <w:rFonts w:hint="eastAsia" w:ascii="仿宋_GB2312" w:hAnsi="仿宋_GB2312" w:eastAsia="仿宋_GB2312" w:cs="仿宋_GB2312"/>
          <w:color w:val="000000"/>
          <w:sz w:val="32"/>
          <w:szCs w:val="32"/>
          <w:lang w:eastAsia="zh-CN"/>
        </w:rPr>
        <w:t>就读</w:t>
      </w:r>
      <w:r>
        <w:rPr>
          <w:rFonts w:hint="eastAsia" w:ascii="仿宋_GB2312" w:hAnsi="仿宋_GB2312" w:eastAsia="仿宋_GB2312" w:cs="仿宋_GB2312"/>
          <w:color w:val="000000"/>
          <w:sz w:val="32"/>
          <w:szCs w:val="32"/>
        </w:rPr>
        <w:t>学校</w:t>
      </w:r>
      <w:r>
        <w:rPr>
          <w:rFonts w:hint="eastAsia" w:ascii="仿宋_GB2312" w:hAnsi="仿宋_GB2312" w:eastAsia="仿宋_GB2312" w:cs="仿宋_GB2312"/>
          <w:color w:val="000000"/>
          <w:sz w:val="32"/>
          <w:szCs w:val="32"/>
          <w:lang w:eastAsia="zh-CN"/>
        </w:rPr>
        <w:t>所在</w:t>
      </w:r>
      <w:r>
        <w:rPr>
          <w:rFonts w:hint="eastAsia" w:ascii="仿宋_GB2312" w:hAnsi="仿宋_GB2312" w:eastAsia="仿宋_GB2312" w:cs="仿宋_GB2312"/>
          <w:color w:val="000000"/>
          <w:sz w:val="32"/>
          <w:szCs w:val="32"/>
        </w:rPr>
        <w:t>政府共发函</w:t>
      </w:r>
      <w:r>
        <w:rPr>
          <w:rFonts w:hint="eastAsia" w:ascii="仿宋_GB2312" w:hAnsi="仿宋_GB2312" w:eastAsia="仿宋_GB2312" w:cs="仿宋_GB2312"/>
          <w:color w:val="000000"/>
          <w:sz w:val="32"/>
          <w:szCs w:val="32"/>
          <w:lang w:val="en-US" w:eastAsia="zh-CN"/>
        </w:rPr>
        <w:t>130</w:t>
      </w:r>
      <w:r>
        <w:rPr>
          <w:rFonts w:hint="eastAsia" w:ascii="仿宋_GB2312" w:hAnsi="仿宋_GB2312" w:eastAsia="仿宋_GB2312" w:cs="仿宋_GB2312"/>
          <w:color w:val="000000"/>
          <w:sz w:val="32"/>
          <w:szCs w:val="32"/>
        </w:rPr>
        <w:t> 份，请求落实相关学生资助政策，已收到回函</w:t>
      </w:r>
      <w:r>
        <w:rPr>
          <w:rFonts w:hint="eastAsia" w:ascii="仿宋_GB2312" w:hAnsi="仿宋_GB2312" w:eastAsia="仿宋_GB2312" w:cs="仿宋_GB2312"/>
          <w:color w:val="000000"/>
          <w:sz w:val="32"/>
          <w:szCs w:val="32"/>
          <w:lang w:val="en-US" w:eastAsia="zh-CN"/>
        </w:rPr>
        <w:t>71</w:t>
      </w:r>
      <w:r>
        <w:rPr>
          <w:rFonts w:hint="eastAsia" w:ascii="仿宋_GB2312" w:hAnsi="仿宋_GB2312" w:eastAsia="仿宋_GB2312" w:cs="仿宋_GB2312"/>
          <w:color w:val="000000"/>
          <w:sz w:val="32"/>
          <w:szCs w:val="32"/>
        </w:rPr>
        <w:t>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切实加强东西部扶贫协作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楷体_GB2312" w:hAnsi="楷体_GB2312" w:eastAsia="楷体_GB2312" w:cs="楷体_GB2312"/>
          <w:b/>
          <w:bCs/>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2020年上半年，建始、滨江两地教育局主要领导进行了实地互访交流；两地教育局共同制定了2020年教育扶贫协作计划，确定了工作目标任务。</w:t>
      </w:r>
      <w:r>
        <w:rPr>
          <w:rFonts w:hint="eastAsia" w:ascii="仿宋_GB2312" w:hAnsi="仿宋_GB2312" w:eastAsia="仿宋_GB2312" w:cs="仿宋_GB2312"/>
          <w:b w:val="0"/>
          <w:bCs w:val="0"/>
          <w:i w:val="0"/>
          <w:caps w:val="0"/>
          <w:color w:val="000000"/>
          <w:spacing w:val="8"/>
          <w:sz w:val="32"/>
          <w:szCs w:val="32"/>
          <w:shd w:val="clear" w:color="auto" w:fill="FFFFFF"/>
          <w:lang w:val="en-US" w:eastAsia="zh-CN"/>
        </w:rPr>
        <w:t>与</w:t>
      </w:r>
      <w:r>
        <w:rPr>
          <w:rFonts w:hint="eastAsia" w:ascii="仿宋_GB2312" w:hAnsi="仿宋_GB2312" w:eastAsia="仿宋_GB2312" w:cs="仿宋_GB2312"/>
          <w:b w:val="0"/>
          <w:bCs w:val="0"/>
          <w:i w:val="0"/>
          <w:caps w:val="0"/>
          <w:color w:val="000000"/>
          <w:spacing w:val="8"/>
          <w:sz w:val="32"/>
          <w:szCs w:val="32"/>
          <w:shd w:val="clear" w:color="auto" w:fill="FFFFFF"/>
        </w:rPr>
        <w:t>杭州师范大学签约实施</w:t>
      </w:r>
      <w:r>
        <w:rPr>
          <w:rFonts w:hint="eastAsia" w:ascii="仿宋_GB2312" w:hAnsi="仿宋_GB2312" w:eastAsia="仿宋_GB2312" w:cs="仿宋_GB2312"/>
          <w:b w:val="0"/>
          <w:bCs w:val="0"/>
          <w:i w:val="0"/>
          <w:caps w:val="0"/>
          <w:color w:val="000000"/>
          <w:spacing w:val="8"/>
          <w:sz w:val="32"/>
          <w:szCs w:val="32"/>
          <w:shd w:val="clear" w:color="auto" w:fill="FFFFFF"/>
          <w:lang w:val="en-US" w:eastAsia="zh-CN"/>
        </w:rPr>
        <w:t>了</w:t>
      </w:r>
      <w:r>
        <w:rPr>
          <w:rFonts w:hint="eastAsia" w:ascii="仿宋_GB2312" w:hAnsi="仿宋_GB2312" w:eastAsia="仿宋_GB2312" w:cs="仿宋_GB2312"/>
          <w:b w:val="0"/>
          <w:bCs w:val="0"/>
          <w:i w:val="0"/>
          <w:caps w:val="0"/>
          <w:color w:val="000000"/>
          <w:spacing w:val="8"/>
          <w:sz w:val="32"/>
          <w:szCs w:val="32"/>
          <w:shd w:val="clear" w:color="auto" w:fill="FFFFFF"/>
        </w:rPr>
        <w:t>“教育同心，资源共享</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sz w:val="32"/>
          <w:szCs w:val="32"/>
          <w:shd w:val="clear" w:color="auto" w:fill="FFFFFF"/>
        </w:rPr>
        <w:t>杭州师范大学助力建始中小学开展线上教学项目”</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bCs w:val="0"/>
          <w:color w:val="000000"/>
          <w:sz w:val="32"/>
          <w:szCs w:val="32"/>
          <w:lang w:val="en-US" w:eastAsia="zh-CN"/>
        </w:rPr>
        <w:t>效果良好；落实滨建两地互派挂职干部教师；杭州市出资500万元援建花坪镇民族初级中学女生宿舍已落地；两地结对学校线上互动交流正在进行。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持续做好驻村帮扶工作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仿宋_GB2312" w:hAnsi="仿宋_GB2312" w:eastAsia="仿宋_GB2312" w:cs="仿宋_GB2312"/>
          <w:b w:val="0"/>
          <w:bCs w:val="0"/>
          <w:i w:val="0"/>
          <w:caps w:val="0"/>
          <w:color w:val="000000"/>
          <w:spacing w:val="8"/>
          <w:sz w:val="32"/>
          <w:szCs w:val="32"/>
          <w:shd w:val="clear" w:color="auto" w:fill="FFFFFF"/>
          <w:lang w:val="en-US" w:eastAsia="zh-CN"/>
        </w:rPr>
        <w:t xml:space="preserve">    继续保障驻村工作队力量，按要求落实人员选派，后勤保障及时到位；落实局领导“3+2”蹲点工作机制；拟订年度帮扶工作计划。完成各类问题排查整改；做好了所驻村疫情防控工作；落实“三类对象”的排查、摸底、建档、帮扶工作；以人居环境整治、家风家教、卫生防疫为重点，抓实乡风文明建设工作；落实单位职工的进村结对帮扶工作；落实脱贫攻坚普查的各项准备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持续深化教师队伍管理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1.发布教师招聘信息。</w:t>
      </w:r>
      <w:r>
        <w:rPr>
          <w:rFonts w:hint="eastAsia" w:ascii="仿宋_GB2312" w:hAnsi="仿宋_GB2312" w:eastAsia="仿宋_GB2312" w:cs="仿宋_GB2312"/>
          <w:b w:val="0"/>
          <w:bCs w:val="0"/>
          <w:color w:val="000000"/>
          <w:sz w:val="32"/>
          <w:szCs w:val="32"/>
          <w:lang w:val="en-US" w:eastAsia="zh-CN"/>
        </w:rPr>
        <w:t>2020年5月，协助恩施职院定向委培招生，印发《建始县教育局关于做好2020年定向委培农村小学全科教师及公办幼儿园教师报名工作的通知》；5月，组织高中段教师专项招聘，发布专项招聘公告；6月，协助省教育考试院，上报农村义务教育教师招聘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2.推进“县管校聘”改革</w:t>
      </w:r>
      <w:r>
        <w:rPr>
          <w:rFonts w:hint="eastAsia" w:ascii="仿宋_GB2312" w:hAnsi="仿宋_GB2312" w:eastAsia="仿宋_GB2312" w:cs="仿宋_GB2312"/>
          <w:b w:val="0"/>
          <w:bCs w:val="0"/>
          <w:color w:val="000000"/>
          <w:sz w:val="32"/>
          <w:szCs w:val="32"/>
          <w:lang w:val="en-US" w:eastAsia="zh-CN"/>
        </w:rPr>
        <w:t>。学习湖北省关于“县管校聘”改革相关文件及“县管校聘”改革试点县成功经验，认真组织开展“县管校聘”改革专题培训，成立改革工作专班，初拟建始县“县管校聘”改革方案。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（五）毫不松懈加强后勤管理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楷体_GB2312" w:hAnsi="楷体_GB2312" w:eastAsia="楷体_GB2312" w:cs="楷体_GB2312"/>
          <w:b/>
          <w:bCs/>
          <w:color w:val="000000"/>
          <w:sz w:val="32"/>
          <w:szCs w:val="32"/>
          <w:lang w:val="en-US" w:eastAsia="zh-CN"/>
        </w:rPr>
      </w:pPr>
      <w:r>
        <w:rPr>
          <w:rFonts w:hint="eastAsia" w:ascii="仿宋" w:hAnsi="仿宋" w:eastAsia="仿宋" w:cs="宋体"/>
          <w:b/>
          <w:sz w:val="32"/>
          <w:szCs w:val="32"/>
          <w:lang w:val="en-US" w:eastAsia="zh-CN"/>
        </w:rPr>
        <w:t xml:space="preserve"> </w:t>
      </w:r>
      <w:r>
        <w:rPr>
          <w:rFonts w:hint="eastAsia" w:ascii="仿宋_GB2312" w:hAnsi="仿宋_GB2312" w:eastAsia="仿宋_GB2312" w:cs="仿宋_GB2312"/>
          <w:b w:val="0"/>
          <w:bCs/>
          <w:sz w:val="32"/>
          <w:szCs w:val="32"/>
          <w:lang w:eastAsia="zh-CN"/>
        </w:rPr>
        <w:t>加强</w:t>
      </w:r>
      <w:r>
        <w:rPr>
          <w:rFonts w:hint="eastAsia" w:ascii="仿宋_GB2312" w:hAnsi="仿宋_GB2312" w:eastAsia="仿宋_GB2312" w:cs="仿宋_GB2312"/>
          <w:b w:val="0"/>
          <w:bCs/>
          <w:sz w:val="32"/>
          <w:szCs w:val="32"/>
        </w:rPr>
        <w:t>学校食品安全管理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强化源头监管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落实过程监管</w:t>
      </w:r>
      <w:r>
        <w:rPr>
          <w:rFonts w:hint="eastAsia" w:ascii="仿宋_GB2312" w:hAnsi="仿宋_GB2312" w:eastAsia="仿宋_GB2312" w:cs="仿宋_GB2312"/>
          <w:b w:val="0"/>
          <w:bCs/>
          <w:sz w:val="32"/>
          <w:szCs w:val="32"/>
          <w:lang w:eastAsia="zh-CN"/>
        </w:rPr>
        <w:t>责任。</w:t>
      </w:r>
      <w:r>
        <w:rPr>
          <w:rFonts w:hint="eastAsia" w:ascii="仿宋_GB2312" w:hAnsi="仿宋_GB2312" w:eastAsia="仿宋_GB2312" w:cs="仿宋_GB2312"/>
          <w:b/>
          <w:bCs w:val="0"/>
          <w:sz w:val="32"/>
          <w:szCs w:val="32"/>
        </w:rPr>
        <w:t>一是</w:t>
      </w:r>
      <w:r>
        <w:rPr>
          <w:rFonts w:hint="eastAsia" w:ascii="仿宋_GB2312" w:hAnsi="仿宋_GB2312" w:eastAsia="仿宋_GB2312" w:cs="仿宋_GB2312"/>
          <w:b w:val="0"/>
          <w:bCs/>
          <w:sz w:val="32"/>
          <w:szCs w:val="32"/>
        </w:rPr>
        <w:t>出台了《2020年建始县学校食堂食品询价定价实施方案》，后勤办严格按方案，定期组织学校食堂管理人员询价，并及时公布，要求学校严格执行公布的价格。</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 w:val="0"/>
          <w:bCs/>
          <w:sz w:val="32"/>
          <w:szCs w:val="32"/>
        </w:rPr>
        <w:t>组织12所阳光校餐学校食堂从业人员，线上完成省统一进行的网上培训。</w:t>
      </w:r>
      <w:r>
        <w:rPr>
          <w:rFonts w:hint="eastAsia" w:ascii="仿宋_GB2312" w:hAnsi="仿宋_GB2312" w:eastAsia="仿宋_GB2312" w:cs="仿宋_GB2312"/>
          <w:b/>
          <w:bCs w:val="0"/>
          <w:sz w:val="32"/>
          <w:szCs w:val="32"/>
        </w:rPr>
        <w:t>三是</w:t>
      </w:r>
      <w:r>
        <w:rPr>
          <w:rFonts w:hint="eastAsia" w:ascii="仿宋_GB2312" w:hAnsi="仿宋_GB2312" w:eastAsia="仿宋_GB2312" w:cs="仿宋_GB2312"/>
          <w:b w:val="0"/>
          <w:bCs/>
          <w:sz w:val="32"/>
          <w:szCs w:val="32"/>
        </w:rPr>
        <w:t>安排专人对食堂财务进行监管，对学校不按时、不按规定处理食堂财务的行为进行监管，发现问题及时提醒并督促整改到位。落实环境消杀、垃圾分类工作。各学校严格按省、州、县新冠肺炎疫情防控和复学复课指挥部要求，对学校进行全方位的消杀工作，复学后严格做好环境卫生及各功能室的消杀工作，确保学校成为安全的净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（六）落实落细学校安全管理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1.</w:t>
      </w:r>
      <w:r>
        <w:rPr>
          <w:rFonts w:hint="eastAsia" w:ascii="仿宋_GB2312" w:hAnsi="仿宋_GB2312" w:eastAsia="仿宋_GB2312" w:cs="仿宋_GB2312"/>
          <w:b/>
          <w:bCs/>
          <w:color w:val="000000"/>
          <w:sz w:val="32"/>
          <w:szCs w:val="32"/>
          <w:lang w:eastAsia="zh-CN"/>
        </w:rPr>
        <w:t>加大隐患排查整改力度。一是</w:t>
      </w:r>
      <w:r>
        <w:rPr>
          <w:rFonts w:hint="eastAsia" w:ascii="仿宋_GB2312" w:hAnsi="仿宋_GB2312" w:eastAsia="仿宋_GB2312" w:cs="仿宋_GB2312"/>
          <w:color w:val="000000"/>
          <w:sz w:val="32"/>
          <w:szCs w:val="32"/>
          <w:lang w:eastAsia="zh-CN"/>
        </w:rPr>
        <w:t>加强学校消防隐患排查。</w:t>
      </w:r>
      <w:r>
        <w:rPr>
          <w:rFonts w:hint="eastAsia" w:ascii="仿宋_GB2312" w:hAnsi="仿宋_GB2312" w:eastAsia="仿宋_GB2312" w:cs="仿宋_GB2312"/>
          <w:color w:val="000000"/>
          <w:sz w:val="32"/>
          <w:szCs w:val="32"/>
        </w:rPr>
        <w:t>对各学校（园）对校园食堂、寝室、教学楼、综合楼等重点部位（场所）进行了消防安全大排查。目前已查出存在校园</w:t>
      </w:r>
      <w:r>
        <w:rPr>
          <w:rFonts w:hint="eastAsia" w:ascii="仿宋_GB2312" w:hAnsi="仿宋_GB2312" w:eastAsia="仿宋_GB2312" w:cs="仿宋_GB2312"/>
          <w:color w:val="000000"/>
          <w:sz w:val="32"/>
          <w:szCs w:val="32"/>
          <w:lang w:eastAsia="zh-CN"/>
        </w:rPr>
        <w:t>消防</w:t>
      </w:r>
      <w:r>
        <w:rPr>
          <w:rFonts w:hint="eastAsia" w:ascii="仿宋_GB2312" w:hAnsi="仿宋_GB2312" w:eastAsia="仿宋_GB2312" w:cs="仿宋_GB2312"/>
          <w:color w:val="000000"/>
          <w:sz w:val="32"/>
          <w:szCs w:val="32"/>
        </w:rPr>
        <w:t>隐患共计32个，</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已全部整改到位。</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b w:val="0"/>
          <w:bCs w:val="0"/>
          <w:color w:val="000000"/>
          <w:sz w:val="32"/>
          <w:szCs w:val="32"/>
        </w:rPr>
        <w:t>校园周边环境综合治理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对校园及周边重点人员进行了摸底排查。经过多轮排查，排查出各类重点人员16人，全部采取了相应专人盯防稳控措施。联合公安、城管、市场监管、卫健、文旅等部门对校园周边环境治理，特别是各个乡镇直中、小学、</w:t>
      </w:r>
      <w:r>
        <w:rPr>
          <w:rFonts w:hint="eastAsia" w:ascii="仿宋_GB2312" w:hAnsi="仿宋_GB2312" w:eastAsia="仿宋_GB2312" w:cs="仿宋_GB2312"/>
          <w:color w:val="000000"/>
          <w:sz w:val="32"/>
          <w:szCs w:val="32"/>
          <w:lang w:eastAsia="zh-CN"/>
        </w:rPr>
        <w:t>城区学校</w:t>
      </w:r>
      <w:r>
        <w:rPr>
          <w:rFonts w:hint="eastAsia" w:ascii="仿宋_GB2312" w:hAnsi="仿宋_GB2312" w:eastAsia="仿宋_GB2312" w:cs="仿宋_GB2312"/>
          <w:color w:val="000000"/>
          <w:sz w:val="32"/>
          <w:szCs w:val="32"/>
        </w:rPr>
        <w:t>等进行治理，清除校园周边摆摊设点、占道经营、网吧娱乐、乱停乱放等情况，共查出各类安全隐患213个，现全部整改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eastAsia="zh-CN"/>
        </w:rPr>
        <w:t>三是</w:t>
      </w:r>
      <w:r>
        <w:rPr>
          <w:rFonts w:hint="eastAsia" w:ascii="仿宋_GB2312" w:hAnsi="仿宋_GB2312" w:eastAsia="仿宋_GB2312" w:cs="仿宋_GB2312"/>
          <w:b w:val="0"/>
          <w:bCs w:val="0"/>
          <w:color w:val="000000"/>
          <w:sz w:val="32"/>
          <w:szCs w:val="32"/>
        </w:rPr>
        <w:t>开展地质灾害隐患大排查专项行动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县教育局对学校及周边开展地质灾害隐患再排查，目前排查出的各学校能自行整改的8处，均已完成整改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eastAsia="zh-CN"/>
        </w:rPr>
        <w:t>四是</w:t>
      </w:r>
      <w:r>
        <w:rPr>
          <w:rFonts w:hint="eastAsia" w:ascii="仿宋_GB2312" w:hAnsi="仿宋_GB2312" w:eastAsia="仿宋_GB2312" w:cs="仿宋_GB2312"/>
          <w:b w:val="0"/>
          <w:bCs w:val="0"/>
          <w:color w:val="000000"/>
          <w:sz w:val="32"/>
          <w:szCs w:val="32"/>
        </w:rPr>
        <w:t>做好防汛抗旱工作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lang w:eastAsia="zh-CN"/>
        </w:rPr>
        <w:t>强化</w:t>
      </w:r>
      <w:r>
        <w:rPr>
          <w:rFonts w:hint="eastAsia" w:ascii="仿宋_GB2312" w:hAnsi="仿宋_GB2312" w:eastAsia="仿宋_GB2312" w:cs="仿宋_GB2312"/>
          <w:color w:val="000000"/>
          <w:sz w:val="32"/>
          <w:szCs w:val="32"/>
        </w:rPr>
        <w:t>落实防汛抗旱值班制度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各乡镇中心学校、县直学校（园）</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隐患排查，值班人员到岗履职。做到了预案准备到位，队伍准备到位，物资准备到位，值班值守到位。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eastAsia="zh-CN"/>
        </w:rPr>
        <w:t>强化</w:t>
      </w:r>
      <w:r>
        <w:rPr>
          <w:rFonts w:hint="eastAsia" w:ascii="仿宋_GB2312" w:hAnsi="仿宋_GB2312" w:eastAsia="仿宋_GB2312" w:cs="仿宋_GB2312"/>
          <w:b/>
          <w:bCs/>
          <w:color w:val="000000"/>
          <w:sz w:val="32"/>
          <w:szCs w:val="32"/>
        </w:rPr>
        <w:t>安全教育</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b w:val="0"/>
          <w:bCs w:val="0"/>
          <w:color w:val="000000"/>
          <w:sz w:val="32"/>
          <w:szCs w:val="32"/>
          <w:lang w:val="en-US" w:eastAsia="zh-CN"/>
        </w:rPr>
        <w:t>创新安全教育方式。</w:t>
      </w:r>
      <w:r>
        <w:rPr>
          <w:rFonts w:hint="eastAsia" w:ascii="仿宋_GB2312" w:hAnsi="仿宋_GB2312" w:eastAsia="仿宋_GB2312" w:cs="仿宋_GB2312"/>
          <w:color w:val="000000"/>
          <w:sz w:val="32"/>
          <w:szCs w:val="32"/>
        </w:rPr>
        <w:t>以宣传专栏和QQ、微信等传统媒体和网络新媒体开展线上线下宣传，形成强大舆论氛围，大力开展校园安全及防汛抗旱、自然灾害防范应对等宣传教育。</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b w:val="0"/>
          <w:bCs w:val="0"/>
          <w:color w:val="000000"/>
          <w:sz w:val="32"/>
          <w:szCs w:val="32"/>
          <w:lang w:eastAsia="zh-CN"/>
        </w:rPr>
        <w:t>开展</w:t>
      </w:r>
      <w:r>
        <w:rPr>
          <w:rFonts w:hint="eastAsia" w:ascii="仿宋_GB2312" w:hAnsi="仿宋_GB2312" w:eastAsia="仿宋_GB2312" w:cs="仿宋_GB2312"/>
          <w:b w:val="0"/>
          <w:bCs w:val="0"/>
          <w:color w:val="000000"/>
          <w:sz w:val="32"/>
          <w:szCs w:val="32"/>
        </w:rPr>
        <w:t>诚信教育及心理健康辅导</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lang w:eastAsia="zh-CN"/>
        </w:rPr>
        <w:t>积极开展疫情下学生诚信教育和心理健康教育，关注特殊群体学生。</w:t>
      </w:r>
      <w:r>
        <w:rPr>
          <w:rFonts w:hint="eastAsia" w:ascii="仿宋_GB2312" w:hAnsi="仿宋_GB2312" w:eastAsia="仿宋_GB2312" w:cs="仿宋_GB2312"/>
          <w:color w:val="000000"/>
          <w:sz w:val="32"/>
          <w:szCs w:val="32"/>
        </w:rPr>
        <w:t>组织教师开展形式</w:t>
      </w:r>
      <w:r>
        <w:rPr>
          <w:rFonts w:hint="eastAsia" w:ascii="仿宋_GB2312" w:hAnsi="仿宋_GB2312" w:eastAsia="仿宋_GB2312" w:cs="仿宋_GB2312"/>
          <w:color w:val="000000"/>
          <w:sz w:val="32"/>
          <w:szCs w:val="32"/>
          <w:lang w:eastAsia="zh-CN"/>
        </w:rPr>
        <w:t>多样</w:t>
      </w:r>
      <w:r>
        <w:rPr>
          <w:rFonts w:hint="eastAsia" w:ascii="仿宋_GB2312" w:hAnsi="仿宋_GB2312" w:eastAsia="仿宋_GB2312" w:cs="仿宋_GB2312"/>
          <w:color w:val="000000"/>
          <w:sz w:val="32"/>
          <w:szCs w:val="32"/>
        </w:rPr>
        <w:t>的网络家访，实现教师、学生家访全覆盖。</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val="0"/>
          <w:bCs w:val="0"/>
          <w:color w:val="000000"/>
          <w:sz w:val="32"/>
          <w:szCs w:val="32"/>
          <w:lang w:val="en-US" w:eastAsia="zh-CN"/>
        </w:rPr>
        <w:t>开展应急演练。</w:t>
      </w:r>
      <w:r>
        <w:rPr>
          <w:rFonts w:hint="eastAsia" w:ascii="仿宋_GB2312" w:hAnsi="仿宋_GB2312" w:eastAsia="仿宋_GB2312" w:cs="仿宋_GB2312"/>
          <w:color w:val="000000"/>
          <w:sz w:val="32"/>
          <w:szCs w:val="32"/>
          <w:lang w:val="en-US" w:eastAsia="zh-CN"/>
        </w:rPr>
        <w:t>多措并举，采用网络教学和现场演练相结合的方式开展安全应急演练，培养学生、家长应急救援技巧和逃生能力。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四、优化营商环境，大力提升教育领域服务水平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（一）转变服务意识。</w:t>
      </w:r>
      <w:r>
        <w:rPr>
          <w:rFonts w:hint="eastAsia" w:ascii="仿宋_GB2312" w:hAnsi="仿宋_GB2312" w:eastAsia="仿宋_GB2312" w:cs="仿宋_GB2312"/>
          <w:color w:val="000000"/>
          <w:sz w:val="32"/>
          <w:szCs w:val="32"/>
        </w:rPr>
        <w:t>深入贯彻湖北</w:t>
      </w:r>
      <w:r>
        <w:rPr>
          <w:rFonts w:hint="eastAsia" w:ascii="仿宋_GB2312" w:hAnsi="仿宋_GB2312" w:eastAsia="仿宋_GB2312" w:cs="仿宋_GB2312"/>
          <w:color w:val="000000"/>
          <w:sz w:val="32"/>
          <w:szCs w:val="32"/>
          <w:shd w:val="clear" w:color="auto" w:fill="FFFFFF"/>
        </w:rPr>
        <w:t>省人民政府《关于更大力度优化营商环境激发市场活力的若干措施》精神，将</w:t>
      </w:r>
      <w:r>
        <w:rPr>
          <w:rFonts w:hint="eastAsia" w:ascii="仿宋_GB2312" w:hAnsi="仿宋_GB2312" w:eastAsia="仿宋_GB2312" w:cs="仿宋_GB2312"/>
          <w:color w:val="000000"/>
          <w:sz w:val="32"/>
          <w:szCs w:val="32"/>
        </w:rPr>
        <w:t>教师资格认定、大学生生源地贷款、行政许可事项入驻县“市民之家”办理，实现“前台综合受理、后台分类审批、统一窗口出件”；全面清理教育部门审批、服务事项，优化办事流程，压缩办理时限，推行网上办理，实现“一件事一次办”“最多跑一次”</w:t>
      </w:r>
      <w:r>
        <w:rPr>
          <w:rFonts w:hint="eastAsia" w:ascii="仿宋_GB2312" w:hAnsi="仿宋_GB2312" w:eastAsia="仿宋_GB2312" w:cs="仿宋_GB2312"/>
          <w:color w:val="000000"/>
          <w:sz w:val="32"/>
          <w:szCs w:val="32"/>
          <w:lang w:eastAsia="zh-CN"/>
        </w:rPr>
        <w:t>。树立</w:t>
      </w:r>
      <w:r>
        <w:rPr>
          <w:rFonts w:hint="eastAsia" w:ascii="仿宋_GB2312" w:hAnsi="仿宋_GB2312" w:eastAsia="仿宋_GB2312" w:cs="仿宋_GB2312"/>
          <w:color w:val="000000"/>
          <w:sz w:val="32"/>
          <w:szCs w:val="32"/>
        </w:rPr>
        <w:t>人人都是营商环境的理念，转变机关作风，提高机关效能。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（二）提升服务效率。</w:t>
      </w: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color w:val="000000"/>
          <w:sz w:val="32"/>
          <w:szCs w:val="32"/>
          <w:lang w:val="en-US" w:eastAsia="zh-CN"/>
        </w:rPr>
        <w:t>启动全县民办教育机构年检。乡镇民办幼儿园和培训机构按照属地管理原则，由乡镇中心学校组成专班负责民办教育机构年检，将结果呈报县教育局后再实行审核，最后形成年检结论，推出黑白名单。</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根据县指挥部统一部署，积极推进校外培训机构复学复产，7月5日起，采用网络申请，属地指挥部统筹安排，专班上门到户验收，保障培训机构及时复工止损。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（三）落实起始年级招生方案。</w:t>
      </w:r>
      <w:r>
        <w:rPr>
          <w:rFonts w:hint="eastAsia" w:ascii="仿宋_GB2312" w:hAnsi="仿宋_GB2312" w:eastAsia="仿宋_GB2312" w:cs="仿宋_GB2312"/>
          <w:color w:val="000000"/>
          <w:sz w:val="32"/>
          <w:szCs w:val="32"/>
          <w:lang w:val="en-US" w:eastAsia="zh-CN"/>
        </w:rPr>
        <w:t>6月15日下发通知，配合“招生政策问答、操作提示”等一起面向全社会公开。全县初中七年级、城区实验小学、民族小学、高平国际实验学校实行网络报名。7月5日结束网上报名，现已开始部门审核，预计8月初完成招录公示，8月31日报名上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（一）城乡教育发展还未实现最大优化。教师队伍专业结构不均衡，音体美信教师稀缺；部分城区学校教师年龄结构偏大，活力不足。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（二）城区学位不足。特别是城区公办幼儿园数量少，无法满足幼儿上公办幼儿园的愿望；公办普通高中少量少，高中学位不足。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（三）部分学校办学条件不够完善。如县实验小学、业州二小无学生食堂，学校无法为学生供餐。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六、下半年工作计划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（一）全面完成各类教师招聘、县外教师返乡工作，落实县直学校及部分城区学校教师选聘工作，加强“县管校聘”改革力度，优化教师队伍。</w:t>
      </w:r>
    </w:p>
    <w:p>
      <w:pPr>
        <w:keepNext w:val="0"/>
        <w:keepLines w:val="0"/>
        <w:pageBreakBefore w:val="0"/>
        <w:widowControl w:val="0"/>
        <w:numPr>
          <w:ilvl w:val="0"/>
          <w:numId w:val="0"/>
        </w:numPr>
        <w:kinsoku/>
        <w:wordWrap/>
        <w:overflowPunct/>
        <w:topLinePunct w:val="0"/>
        <w:autoSpaceDN/>
        <w:bidi w:val="0"/>
        <w:adjustRightInd/>
        <w:snapToGrid/>
        <w:spacing w:line="540" w:lineRule="exact"/>
        <w:ind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（二）持续加大脱贫攻坚后续帮扶措施。一是选派更多优秀教师赴滨江跟岗学习。二是组织社会力量支援我县教育发展。三是全面加强控辍保学工作，确保适龄儿童少年就读不落一人。</w:t>
      </w:r>
    </w:p>
    <w:p>
      <w:pPr>
        <w:keepNext w:val="0"/>
        <w:keepLines w:val="0"/>
        <w:pageBreakBefore w:val="0"/>
        <w:widowControl w:val="0"/>
        <w:numPr>
          <w:ilvl w:val="0"/>
          <w:numId w:val="0"/>
        </w:numPr>
        <w:kinsoku/>
        <w:wordWrap/>
        <w:overflowPunct/>
        <w:topLinePunct w:val="0"/>
        <w:autoSpaceDN/>
        <w:bidi w:val="0"/>
        <w:adjustRightInd/>
        <w:snapToGrid/>
        <w:spacing w:line="540" w:lineRule="exact"/>
        <w:ind w:right="0" w:right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（三）全面优化营商环境。根据省、州、县各级要求，全面梳理教育系统中关于优化营商环境方面的内容，</w:t>
      </w:r>
      <w:r>
        <w:rPr>
          <w:rFonts w:hint="eastAsia" w:ascii="仿宋_GB2312" w:hAnsi="仿宋_GB2312" w:eastAsia="仿宋_GB2312" w:cs="仿宋_GB2312"/>
          <w:color w:val="000000"/>
          <w:sz w:val="32"/>
          <w:szCs w:val="32"/>
          <w:lang w:eastAsia="zh-CN"/>
        </w:rPr>
        <w:t>树立</w:t>
      </w:r>
      <w:r>
        <w:rPr>
          <w:rFonts w:hint="eastAsia" w:ascii="仿宋_GB2312" w:hAnsi="仿宋_GB2312" w:eastAsia="仿宋_GB2312" w:cs="仿宋_GB2312"/>
          <w:color w:val="000000"/>
          <w:sz w:val="32"/>
          <w:szCs w:val="32"/>
        </w:rPr>
        <w:t>人人都是营商环境的理念，转变机关作风，提高机关效能</w:t>
      </w:r>
      <w:r>
        <w:rPr>
          <w:rFonts w:hint="eastAsia" w:ascii="仿宋_GB2312" w:hAnsi="仿宋_GB2312" w:eastAsia="仿宋_GB2312" w:cs="仿宋_GB2312"/>
          <w:color w:val="000000"/>
          <w:sz w:val="32"/>
          <w:szCs w:val="32"/>
          <w:lang w:val="en-US" w:eastAsia="zh-CN"/>
        </w:rPr>
        <w:t>;请求县司法局提请省、州司法系统解决教育行政执法资格问题。</w:t>
      </w:r>
    </w:p>
    <w:p>
      <w:pPr>
        <w:keepNext w:val="0"/>
        <w:keepLines w:val="0"/>
        <w:pageBreakBefore w:val="0"/>
        <w:widowControl w:val="0"/>
        <w:numPr>
          <w:ilvl w:val="0"/>
          <w:numId w:val="0"/>
        </w:numPr>
        <w:kinsoku/>
        <w:wordWrap/>
        <w:overflowPunct/>
        <w:topLinePunct w:val="0"/>
        <w:autoSpaceDN/>
        <w:bidi w:val="0"/>
        <w:adjustRightInd/>
        <w:snapToGrid/>
        <w:spacing w:line="540" w:lineRule="exact"/>
        <w:ind w:right="0" w:right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（四）强化安全卫生管理。明确安全卫生管理主体责任、直接责任，全方位、多层次排查隐患、落实整改，确保我县教育系统安全零事故。</w:t>
      </w:r>
    </w:p>
    <w:p>
      <w:pPr>
        <w:keepNext w:val="0"/>
        <w:keepLines w:val="0"/>
        <w:pageBreakBefore w:val="0"/>
        <w:widowControl w:val="0"/>
        <w:numPr>
          <w:ilvl w:val="0"/>
          <w:numId w:val="0"/>
        </w:numPr>
        <w:kinsoku/>
        <w:wordWrap/>
        <w:overflowPunct/>
        <w:topLinePunct w:val="0"/>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（五）强化意识形态管理和宣传工作。</w:t>
      </w:r>
      <w:r>
        <w:rPr>
          <w:rFonts w:hint="eastAsia" w:ascii="仿宋_GB2312" w:hAnsi="仿宋_GB2312" w:eastAsia="仿宋_GB2312" w:cs="仿宋_GB2312"/>
          <w:sz w:val="32"/>
          <w:szCs w:val="32"/>
          <w:lang w:val="en-US" w:eastAsia="zh-CN"/>
        </w:rPr>
        <w:t>一是严防发生网络舆情。开展舆情风险应对培训，提高舆情风险应对能力;加强新媒体规范管理，规范教育系统现有自媒体管理，积极引导广大学生、家长树立社会正能量，牢牢把握话语阵地。二是强化意识形态风险排查。对教育领域可能存在的风险点开展网络舆情风险排查工作，防止负面舆情事件爆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（六）</w:t>
      </w:r>
      <w:r>
        <w:rPr>
          <w:rFonts w:hint="eastAsia" w:ascii="仿宋_GB2312" w:hAnsi="仿宋_GB2312" w:eastAsia="仿宋_GB2312" w:cs="仿宋_GB2312"/>
          <w:sz w:val="32"/>
          <w:szCs w:val="32"/>
          <w:lang w:val="en-US" w:eastAsia="zh-CN"/>
        </w:rPr>
        <w:t>加强秋季开学后所有年级的教育教学质量管理，做好网络教学与课堂教学的衔接工作；积极关注师生心理健康，做好留守儿童、“德困”“学困”学生心理疏导。</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康简标题宋">
    <w:altName w:val="宋体"/>
    <w:panose1 w:val="0201060900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华康简标题宋">
    <w:altName w:val="宋体"/>
    <w:panose1 w:val="0201060900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华康简标题宋">
    <w:altName w:val="宋体"/>
    <w:panose1 w:val="0201060900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-198755</wp:posOffset>
              </wp:positionV>
              <wp:extent cx="564515" cy="4362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4515" cy="436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65pt;height:34.35pt;width:44.45pt;mso-position-horizontal:outside;mso-position-horizontal-relative:margin;z-index:251659264;mso-width-relative:page;mso-height-relative:page;" filled="f" stroked="f" coordsize="21600,21600" o:gfxdata="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510G1QAAAAYBAAAP&#10;AAAAAAAAAAEAIAAAACIAAABkcnMvZG93bnJldi54bWxQSwECFAAUAAAACACHTuJAtNrkXBsCAAAT&#10;BAAADgAAAAAAAAABACAAAAAkAQAAZHJzL2Uyb0RvYy54bWxQSwUGAAAAAAYABgBZAQAAsQUAAA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353637">
    <w:nsid w:val="5F07E7E5"/>
    <w:multiLevelType w:val="singleLevel"/>
    <w:tmpl w:val="5F07E7E5"/>
    <w:lvl w:ilvl="0" w:tentative="1">
      <w:start w:val="3"/>
      <w:numFmt w:val="chineseCounting"/>
      <w:suff w:val="nothing"/>
      <w:lvlText w:val="%1、"/>
      <w:lvlJc w:val="left"/>
    </w:lvl>
  </w:abstractNum>
  <w:abstractNum w:abstractNumId="1594520317">
    <w:nsid w:val="5F0A72FD"/>
    <w:multiLevelType w:val="singleLevel"/>
    <w:tmpl w:val="5F0A72FD"/>
    <w:lvl w:ilvl="0" w:tentative="1">
      <w:start w:val="1"/>
      <w:numFmt w:val="chineseCounting"/>
      <w:suff w:val="nothing"/>
      <w:lvlText w:val="（%1）"/>
      <w:lvlJc w:val="left"/>
    </w:lvl>
  </w:abstractNum>
  <w:abstractNum w:abstractNumId="1594519584">
    <w:nsid w:val="5F0A7020"/>
    <w:multiLevelType w:val="singleLevel"/>
    <w:tmpl w:val="5F0A7020"/>
    <w:lvl w:ilvl="0" w:tentative="1">
      <w:start w:val="2"/>
      <w:numFmt w:val="chineseCounting"/>
      <w:suff w:val="nothing"/>
      <w:lvlText w:val="（%1）"/>
      <w:lvlJc w:val="left"/>
    </w:lvl>
  </w:abstractNum>
  <w:num w:numId="1">
    <w:abstractNumId w:val="1594519584"/>
  </w:num>
  <w:num w:numId="2">
    <w:abstractNumId w:val="1594353637"/>
  </w:num>
  <w:num w:numId="3">
    <w:abstractNumId w:val="1594520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4B8F"/>
    <w:rsid w:val="02D37EB0"/>
    <w:rsid w:val="02ED0A5A"/>
    <w:rsid w:val="0496787D"/>
    <w:rsid w:val="05BA014E"/>
    <w:rsid w:val="05E11D32"/>
    <w:rsid w:val="06447858"/>
    <w:rsid w:val="081D70DE"/>
    <w:rsid w:val="0B01399E"/>
    <w:rsid w:val="0C433FAA"/>
    <w:rsid w:val="0DFB6B7F"/>
    <w:rsid w:val="0F01062B"/>
    <w:rsid w:val="0F4D2CA8"/>
    <w:rsid w:val="0F6428CD"/>
    <w:rsid w:val="0F7B24F3"/>
    <w:rsid w:val="13702473"/>
    <w:rsid w:val="13BE7FF4"/>
    <w:rsid w:val="14FF6402"/>
    <w:rsid w:val="159B6280"/>
    <w:rsid w:val="17D426A8"/>
    <w:rsid w:val="17F376D9"/>
    <w:rsid w:val="184616E2"/>
    <w:rsid w:val="19B52BBD"/>
    <w:rsid w:val="1A3F149C"/>
    <w:rsid w:val="1A4E1AB7"/>
    <w:rsid w:val="1B7B1224"/>
    <w:rsid w:val="1BB50104"/>
    <w:rsid w:val="1C9167EE"/>
    <w:rsid w:val="1D0D0336"/>
    <w:rsid w:val="1E6F5D7F"/>
    <w:rsid w:val="1F707B20"/>
    <w:rsid w:val="21A345BC"/>
    <w:rsid w:val="22B84105"/>
    <w:rsid w:val="24BB1370"/>
    <w:rsid w:val="26EC5D68"/>
    <w:rsid w:val="289C222B"/>
    <w:rsid w:val="293F2D39"/>
    <w:rsid w:val="294F5552"/>
    <w:rsid w:val="29A22DDE"/>
    <w:rsid w:val="2A5A6D09"/>
    <w:rsid w:val="2A687324"/>
    <w:rsid w:val="2B8B28FE"/>
    <w:rsid w:val="2E3A4766"/>
    <w:rsid w:val="2FA12DB4"/>
    <w:rsid w:val="30F92FE5"/>
    <w:rsid w:val="323E7DF9"/>
    <w:rsid w:val="337D6587"/>
    <w:rsid w:val="33A05842"/>
    <w:rsid w:val="341344FC"/>
    <w:rsid w:val="34E76033"/>
    <w:rsid w:val="364F18A8"/>
    <w:rsid w:val="36C066E4"/>
    <w:rsid w:val="38737883"/>
    <w:rsid w:val="39B6763B"/>
    <w:rsid w:val="3D527E27"/>
    <w:rsid w:val="3D883B84"/>
    <w:rsid w:val="3FA376F7"/>
    <w:rsid w:val="3FC37C2B"/>
    <w:rsid w:val="40E63206"/>
    <w:rsid w:val="40EA422F"/>
    <w:rsid w:val="41220E6C"/>
    <w:rsid w:val="437E5448"/>
    <w:rsid w:val="447943E7"/>
    <w:rsid w:val="4A1A5341"/>
    <w:rsid w:val="4DA954F8"/>
    <w:rsid w:val="5060476D"/>
    <w:rsid w:val="519E7677"/>
    <w:rsid w:val="51F54803"/>
    <w:rsid w:val="531639E1"/>
    <w:rsid w:val="536B5669"/>
    <w:rsid w:val="549C125E"/>
    <w:rsid w:val="555B0397"/>
    <w:rsid w:val="56E03A17"/>
    <w:rsid w:val="573C2AAB"/>
    <w:rsid w:val="57B74973"/>
    <w:rsid w:val="588440C7"/>
    <w:rsid w:val="592A4855"/>
    <w:rsid w:val="59611551"/>
    <w:rsid w:val="5AD05E8B"/>
    <w:rsid w:val="5C466CF1"/>
    <w:rsid w:val="5D8C4E0A"/>
    <w:rsid w:val="5FB85438"/>
    <w:rsid w:val="625010E3"/>
    <w:rsid w:val="65FB38DF"/>
    <w:rsid w:val="69AF1771"/>
    <w:rsid w:val="6EA10310"/>
    <w:rsid w:val="6F1B21D8"/>
    <w:rsid w:val="72C267D6"/>
    <w:rsid w:val="7507318D"/>
    <w:rsid w:val="76BC155A"/>
    <w:rsid w:val="77977FC3"/>
    <w:rsid w:val="780627F5"/>
    <w:rsid w:val="7A66105B"/>
    <w:rsid w:val="7A7C6A82"/>
    <w:rsid w:val="7B063163"/>
    <w:rsid w:val="7B3429AD"/>
    <w:rsid w:val="7BE63AD5"/>
    <w:rsid w:val="7CB244A3"/>
    <w:rsid w:val="7FE94F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false</cp:lastModifiedBy>
  <dcterms:modified xsi:type="dcterms:W3CDTF">2020-08-10T09:02:17Z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