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建始县教育建设项目中介服务费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最高限价标准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经县教育局班子会研究，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中介服务费未达到《湖北省政府集中采购目录及标准（2021年版）》规定的限额标准，部分中介服务费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最高限价标准，请项目学校参照执行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可研编制、可研和初设评审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可研编制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1000万元以上2万元，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100—1000万元以上1万元，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100万元以下4千元；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可研评审费4千元；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初设评审费5千元。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2.设计（含初设）：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概算投资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4.5%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地勘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2400元/孔+4000元波速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图审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2元/平方米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90%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（含消防）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造价咨询、预算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评审、</w:t>
      </w:r>
      <w:r>
        <w:rPr>
          <w:rFonts w:hint="eastAsia" w:ascii="仿宋_GB2312" w:hAnsi="仿宋_GB2312" w:eastAsia="仿宋_GB2312" w:cs="仿宋_GB2312"/>
          <w:sz w:val="32"/>
          <w:szCs w:val="32"/>
        </w:rPr>
        <w:t>决算审计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预算费=预算价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8‰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36%（计费不足1500元的，按1500元计费）；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费=送审金额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5‰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30%+审减额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8%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50%（计费不足1200元的，按1200元计费）；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决算审计费=送审金额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5‰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36%+审减额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8%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80%（计费不足1800元的，按1800元计费）。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招标代理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622165" cy="1913255"/>
            <wp:effectExtent l="0" t="0" r="0" b="0"/>
            <wp:docPr id="1945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r="17472" b="5372"/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监理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2.5%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规划测量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定桩、放线、高程及验收报告按包干价5000元计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  <w:r>
        <w:drawing>
          <wp:inline distT="0" distB="0" distL="114300" distR="114300">
            <wp:extent cx="4614545" cy="1450340"/>
            <wp:effectExtent l="0" t="0" r="14605" b="16510"/>
            <wp:docPr id="1433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drawing>
          <wp:inline distT="0" distB="0" distL="114300" distR="114300">
            <wp:extent cx="4624070" cy="1137285"/>
            <wp:effectExtent l="0" t="0" r="5080" b="5715"/>
            <wp:docPr id="1536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0.9元/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平方米（计费</w:t>
      </w:r>
      <w:r>
        <w:rPr>
          <w:rFonts w:hint="eastAsia" w:ascii="仿宋_GB2312" w:hAnsi="仿宋_GB2312" w:eastAsia="仿宋_GB2312" w:cs="仿宋_GB2312"/>
          <w:sz w:val="32"/>
          <w:szCs w:val="32"/>
        </w:rPr>
        <w:t>不足2700元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按2700元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87289"/>
    <w:rsid w:val="01287289"/>
    <w:rsid w:val="018063C3"/>
    <w:rsid w:val="08FA0E7C"/>
    <w:rsid w:val="0ED65F5D"/>
    <w:rsid w:val="0FE134AA"/>
    <w:rsid w:val="15D945A7"/>
    <w:rsid w:val="17F12E16"/>
    <w:rsid w:val="28AB4048"/>
    <w:rsid w:val="2E601327"/>
    <w:rsid w:val="3BA27E36"/>
    <w:rsid w:val="421410AD"/>
    <w:rsid w:val="46D20E8E"/>
    <w:rsid w:val="701D3F6C"/>
    <w:rsid w:val="73664F4D"/>
    <w:rsid w:val="7A5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2020-11-29T13:44:00Z</dcterms:created>
  <dc:creator>false</dc:creator>
  <cp:lastModifiedBy>false</cp:lastModifiedBy>
  <dcterms:modified xsi:type="dcterms:W3CDTF">2020-12-24T15:22:25Z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