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1A" w:rsidRDefault="00221D97">
      <w:pPr>
        <w:widowControl/>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color w:val="000000"/>
          <w:kern w:val="0"/>
          <w:sz w:val="32"/>
          <w:szCs w:val="32"/>
        </w:rPr>
        <w:t>附件</w:t>
      </w: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b/>
          <w:bCs/>
          <w:color w:val="000000"/>
          <w:kern w:val="0"/>
          <w:sz w:val="32"/>
          <w:szCs w:val="32"/>
        </w:rPr>
        <w:t xml:space="preserve">                    </w:t>
      </w:r>
    </w:p>
    <w:tbl>
      <w:tblPr>
        <w:tblpPr w:leftFromText="180" w:rightFromText="180" w:vertAnchor="text" w:tblpXSpec="center" w:tblpY="1"/>
        <w:tblOverlap w:val="never"/>
        <w:tblW w:w="14616" w:type="dxa"/>
        <w:jc w:val="center"/>
        <w:tblLayout w:type="fixed"/>
        <w:tblLook w:val="04A0"/>
      </w:tblPr>
      <w:tblGrid>
        <w:gridCol w:w="1242"/>
        <w:gridCol w:w="1276"/>
        <w:gridCol w:w="10205"/>
        <w:gridCol w:w="946"/>
        <w:gridCol w:w="947"/>
      </w:tblGrid>
      <w:tr w:rsidR="008A3C1A">
        <w:trPr>
          <w:trHeight w:val="435"/>
          <w:jc w:val="center"/>
        </w:trPr>
        <w:tc>
          <w:tcPr>
            <w:tcW w:w="14616" w:type="dxa"/>
            <w:gridSpan w:val="5"/>
            <w:tcBorders>
              <w:top w:val="nil"/>
              <w:left w:val="nil"/>
              <w:bottom w:val="nil"/>
              <w:right w:val="nil"/>
            </w:tcBorders>
            <w:vAlign w:val="center"/>
          </w:tcPr>
          <w:p w:rsidR="008A3C1A" w:rsidRDefault="002804BC">
            <w:pPr>
              <w:widowControl/>
              <w:jc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中</w:t>
            </w:r>
            <w:r w:rsidR="00221D97">
              <w:rPr>
                <w:rFonts w:ascii="仿宋_GB2312" w:eastAsia="仿宋_GB2312" w:hAnsi="仿宋_GB2312" w:cs="仿宋_GB2312" w:hint="eastAsia"/>
                <w:b/>
                <w:bCs/>
                <w:color w:val="000000"/>
                <w:kern w:val="0"/>
                <w:sz w:val="32"/>
                <w:szCs w:val="32"/>
              </w:rPr>
              <w:t>小学语言文字工作</w:t>
            </w:r>
            <w:r w:rsidR="00221D97">
              <w:rPr>
                <w:rFonts w:ascii="仿宋_GB2312" w:eastAsia="仿宋_GB2312" w:hAnsi="仿宋_GB2312" w:cs="仿宋_GB2312" w:hint="eastAsia"/>
                <w:b/>
                <w:bCs/>
                <w:color w:val="000000"/>
                <w:kern w:val="0"/>
                <w:sz w:val="32"/>
                <w:szCs w:val="32"/>
              </w:rPr>
              <w:t>自评表</w:t>
            </w:r>
          </w:p>
        </w:tc>
      </w:tr>
      <w:tr w:rsidR="008A3C1A">
        <w:trPr>
          <w:trHeight w:val="270"/>
          <w:jc w:val="center"/>
        </w:trPr>
        <w:tc>
          <w:tcPr>
            <w:tcW w:w="1242" w:type="dxa"/>
            <w:tcBorders>
              <w:top w:val="nil"/>
              <w:left w:val="nil"/>
              <w:bottom w:val="single" w:sz="8" w:space="0" w:color="auto"/>
              <w:right w:val="nil"/>
            </w:tcBorders>
            <w:vAlign w:val="center"/>
          </w:tcPr>
          <w:p w:rsidR="008A3C1A" w:rsidRDefault="008A3C1A">
            <w:pPr>
              <w:widowControl/>
              <w:jc w:val="center"/>
              <w:rPr>
                <w:rFonts w:ascii="仿宋_GB2312" w:eastAsia="仿宋_GB2312" w:hAnsi="仿宋_GB2312" w:cs="仿宋_GB2312"/>
                <w:b/>
                <w:bCs/>
                <w:kern w:val="0"/>
                <w:szCs w:val="21"/>
              </w:rPr>
            </w:pPr>
          </w:p>
        </w:tc>
        <w:tc>
          <w:tcPr>
            <w:tcW w:w="1276" w:type="dxa"/>
            <w:tcBorders>
              <w:top w:val="nil"/>
              <w:left w:val="nil"/>
              <w:bottom w:val="single" w:sz="8" w:space="0" w:color="auto"/>
              <w:right w:val="nil"/>
            </w:tcBorders>
            <w:vAlign w:val="center"/>
          </w:tcPr>
          <w:p w:rsidR="008A3C1A" w:rsidRDefault="008A3C1A">
            <w:pPr>
              <w:widowControl/>
              <w:jc w:val="left"/>
              <w:rPr>
                <w:rFonts w:ascii="仿宋_GB2312" w:eastAsia="仿宋_GB2312" w:hAnsi="仿宋_GB2312" w:cs="仿宋_GB2312"/>
                <w:kern w:val="0"/>
                <w:sz w:val="22"/>
              </w:rPr>
            </w:pPr>
          </w:p>
        </w:tc>
        <w:tc>
          <w:tcPr>
            <w:tcW w:w="10205" w:type="dxa"/>
            <w:tcBorders>
              <w:top w:val="nil"/>
              <w:left w:val="nil"/>
              <w:bottom w:val="single" w:sz="8" w:space="0" w:color="auto"/>
              <w:right w:val="nil"/>
            </w:tcBorders>
            <w:vAlign w:val="center"/>
          </w:tcPr>
          <w:p w:rsidR="008A3C1A" w:rsidRDefault="008A3C1A">
            <w:pPr>
              <w:widowControl/>
              <w:jc w:val="left"/>
              <w:rPr>
                <w:rFonts w:ascii="仿宋_GB2312" w:eastAsia="仿宋_GB2312" w:hAnsi="仿宋_GB2312" w:cs="仿宋_GB2312"/>
                <w:kern w:val="0"/>
                <w:sz w:val="22"/>
              </w:rPr>
            </w:pPr>
          </w:p>
        </w:tc>
        <w:tc>
          <w:tcPr>
            <w:tcW w:w="1893" w:type="dxa"/>
            <w:gridSpan w:val="2"/>
            <w:tcBorders>
              <w:top w:val="nil"/>
              <w:left w:val="nil"/>
              <w:bottom w:val="single" w:sz="8" w:space="0" w:color="auto"/>
              <w:right w:val="nil"/>
            </w:tcBorders>
            <w:vAlign w:val="center"/>
          </w:tcPr>
          <w:p w:rsidR="008A3C1A" w:rsidRDefault="008A3C1A">
            <w:pPr>
              <w:widowControl/>
              <w:jc w:val="left"/>
              <w:rPr>
                <w:rFonts w:ascii="仿宋_GB2312" w:eastAsia="仿宋_GB2312" w:hAnsi="仿宋_GB2312" w:cs="仿宋_GB2312"/>
                <w:kern w:val="0"/>
                <w:sz w:val="22"/>
              </w:rPr>
            </w:pPr>
          </w:p>
        </w:tc>
      </w:tr>
      <w:tr w:rsidR="008A3C1A">
        <w:trPr>
          <w:trHeight w:val="430"/>
          <w:jc w:val="center"/>
        </w:trPr>
        <w:tc>
          <w:tcPr>
            <w:tcW w:w="1242" w:type="dxa"/>
            <w:tcBorders>
              <w:top w:val="single" w:sz="8" w:space="0" w:color="auto"/>
              <w:left w:val="single" w:sz="8"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一级指标</w:t>
            </w:r>
          </w:p>
        </w:tc>
        <w:tc>
          <w:tcPr>
            <w:tcW w:w="1276" w:type="dxa"/>
            <w:tcBorders>
              <w:top w:val="single" w:sz="8" w:space="0" w:color="auto"/>
              <w:left w:val="nil"/>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二级指标</w:t>
            </w:r>
          </w:p>
        </w:tc>
        <w:tc>
          <w:tcPr>
            <w:tcW w:w="10205" w:type="dxa"/>
            <w:tcBorders>
              <w:top w:val="single" w:sz="8" w:space="0" w:color="auto"/>
              <w:left w:val="nil"/>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考核要点</w:t>
            </w:r>
          </w:p>
        </w:tc>
        <w:tc>
          <w:tcPr>
            <w:tcW w:w="946" w:type="dxa"/>
            <w:tcBorders>
              <w:top w:val="single" w:sz="8" w:space="0" w:color="auto"/>
              <w:left w:val="nil"/>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分值</w:t>
            </w:r>
          </w:p>
        </w:tc>
        <w:tc>
          <w:tcPr>
            <w:tcW w:w="947" w:type="dxa"/>
            <w:tcBorders>
              <w:top w:val="single" w:sz="8" w:space="0" w:color="auto"/>
              <w:left w:val="nil"/>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自评分</w:t>
            </w:r>
          </w:p>
        </w:tc>
      </w:tr>
      <w:tr w:rsidR="008A3C1A">
        <w:trPr>
          <w:trHeight w:val="312"/>
          <w:jc w:val="center"/>
        </w:trPr>
        <w:tc>
          <w:tcPr>
            <w:tcW w:w="1242" w:type="dxa"/>
            <w:vMerge w:val="restart"/>
            <w:tcBorders>
              <w:top w:val="nil"/>
              <w:left w:val="single" w:sz="8"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hint="eastAsia"/>
                <w:kern w:val="0"/>
                <w:sz w:val="24"/>
                <w:szCs w:val="24"/>
              </w:rPr>
              <w:t xml:space="preserve">　　　　制度建设</w:t>
            </w:r>
            <w:r>
              <w:rPr>
                <w:rFonts w:ascii="仿宋_GB2312" w:eastAsia="仿宋_GB2312" w:hAnsi="仿宋_GB2312" w:cs="仿宋_GB2312" w:hint="eastAsia"/>
                <w:kern w:val="0"/>
                <w:sz w:val="24"/>
                <w:szCs w:val="24"/>
              </w:rPr>
              <w:t>(25</w:t>
            </w:r>
            <w:r>
              <w:rPr>
                <w:rFonts w:ascii="仿宋_GB2312" w:eastAsia="仿宋_GB2312" w:hAnsi="仿宋_GB2312" w:cs="仿宋_GB2312" w:hint="eastAsia"/>
                <w:kern w:val="0"/>
                <w:sz w:val="24"/>
                <w:szCs w:val="24"/>
              </w:rPr>
              <w:t>分</w:t>
            </w:r>
            <w:r>
              <w:rPr>
                <w:rFonts w:ascii="仿宋_GB2312" w:eastAsia="仿宋_GB2312" w:hAnsi="仿宋_GB2312" w:cs="仿宋_GB2312" w:hint="eastAsia"/>
                <w:kern w:val="0"/>
                <w:sz w:val="24"/>
                <w:szCs w:val="24"/>
              </w:rPr>
              <w:t>)</w:t>
            </w:r>
          </w:p>
        </w:tc>
        <w:tc>
          <w:tcPr>
            <w:tcW w:w="1276"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1-1      </w:t>
            </w:r>
            <w:r>
              <w:rPr>
                <w:rFonts w:ascii="仿宋_GB2312" w:eastAsia="仿宋_GB2312" w:hAnsi="仿宋_GB2312" w:cs="仿宋_GB2312" w:hint="eastAsia"/>
                <w:kern w:val="0"/>
                <w:sz w:val="24"/>
                <w:szCs w:val="24"/>
              </w:rPr>
              <w:t>工作机构</w:t>
            </w:r>
          </w:p>
        </w:tc>
        <w:tc>
          <w:tcPr>
            <w:tcW w:w="10205" w:type="dxa"/>
            <w:vMerge w:val="restart"/>
            <w:tcBorders>
              <w:top w:val="nil"/>
              <w:left w:val="single" w:sz="4" w:space="0" w:color="auto"/>
              <w:bottom w:val="single" w:sz="4" w:space="0" w:color="auto"/>
              <w:right w:val="single" w:sz="4" w:space="0" w:color="auto"/>
            </w:tcBorders>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有语言文字工作机制，有校内部门分工负责制度。</w:t>
            </w:r>
          </w:p>
        </w:tc>
        <w:tc>
          <w:tcPr>
            <w:tcW w:w="946" w:type="dxa"/>
            <w:vMerge w:val="restart"/>
            <w:tcBorders>
              <w:top w:val="nil"/>
              <w:left w:val="single" w:sz="4" w:space="0" w:color="auto"/>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分</w:t>
            </w:r>
          </w:p>
        </w:tc>
        <w:tc>
          <w:tcPr>
            <w:tcW w:w="947" w:type="dxa"/>
            <w:vMerge w:val="restart"/>
            <w:tcBorders>
              <w:top w:val="nil"/>
              <w:left w:val="single" w:sz="4" w:space="0" w:color="auto"/>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10205"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947"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1-2       </w:t>
            </w:r>
            <w:r>
              <w:rPr>
                <w:rFonts w:ascii="仿宋_GB2312" w:eastAsia="仿宋_GB2312" w:hAnsi="仿宋_GB2312" w:cs="仿宋_GB2312" w:hint="eastAsia"/>
                <w:kern w:val="0"/>
                <w:sz w:val="24"/>
                <w:szCs w:val="24"/>
              </w:rPr>
              <w:t>长效机制</w:t>
            </w:r>
          </w:p>
        </w:tc>
        <w:tc>
          <w:tcPr>
            <w:tcW w:w="10205"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语言文字工作有计划、有过程、有总结。校长熟悉语言文字法律法规、方针政策。将语言文字工作纳入日常管理，在学校发展规划和年度工作计划、总结中有语言文字工作内容；在用语用字、学生培养、教育实践过程中有关于语言文字使用的规章制度，并有定期检查落实制度；在职务评聘、教育教学考核评价等制度中，有关于语言文字应用能力、应用情况的明确要求。按照规定开设写字课和书法课。建立奖惩机制，对学校语言文字工作做出突出贡献的组织和个人给予表彰奖励。</w:t>
            </w:r>
          </w:p>
        </w:tc>
        <w:tc>
          <w:tcPr>
            <w:tcW w:w="946" w:type="dxa"/>
            <w:vMerge w:val="restart"/>
            <w:tcBorders>
              <w:top w:val="nil"/>
              <w:left w:val="single" w:sz="4" w:space="0" w:color="auto"/>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分</w:t>
            </w:r>
          </w:p>
        </w:tc>
        <w:tc>
          <w:tcPr>
            <w:tcW w:w="947" w:type="dxa"/>
            <w:vMerge w:val="restart"/>
            <w:tcBorders>
              <w:top w:val="nil"/>
              <w:left w:val="single" w:sz="4" w:space="0" w:color="auto"/>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10205"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947"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1-3       </w:t>
            </w:r>
            <w:r>
              <w:rPr>
                <w:rFonts w:ascii="仿宋_GB2312" w:eastAsia="仿宋_GB2312" w:hAnsi="仿宋_GB2312" w:cs="仿宋_GB2312" w:hint="eastAsia"/>
                <w:kern w:val="0"/>
                <w:sz w:val="24"/>
                <w:szCs w:val="24"/>
              </w:rPr>
              <w:t>校园环境</w:t>
            </w:r>
          </w:p>
        </w:tc>
        <w:tc>
          <w:tcPr>
            <w:tcW w:w="10205"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普通话是学校的工作语言和基本交际语言。校内有永久性国家通用语言文字宣传标识或标语，学校主页有语言文字工作宣传。重视环境对学生语言文化素养的熏陶作用，校内公文、文件、网站、宣传信息平台以及名称牌、指示牌、校风校训、标语、建筑物等用语用字符合规范及相关要求，汉语拼音使用规范，外文使用符合标准、规范。</w:t>
            </w:r>
          </w:p>
        </w:tc>
        <w:tc>
          <w:tcPr>
            <w:tcW w:w="946" w:type="dxa"/>
            <w:vMerge w:val="restart"/>
            <w:tcBorders>
              <w:top w:val="nil"/>
              <w:left w:val="single" w:sz="4" w:space="0" w:color="auto"/>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分</w:t>
            </w:r>
          </w:p>
        </w:tc>
        <w:tc>
          <w:tcPr>
            <w:tcW w:w="947" w:type="dxa"/>
            <w:vMerge w:val="restart"/>
            <w:tcBorders>
              <w:top w:val="nil"/>
              <w:left w:val="single" w:sz="4" w:space="0" w:color="auto"/>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10205"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947"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1-4       </w:t>
            </w:r>
            <w:r>
              <w:rPr>
                <w:rFonts w:ascii="仿宋_GB2312" w:eastAsia="仿宋_GB2312" w:hAnsi="仿宋_GB2312" w:cs="仿宋_GB2312" w:hint="eastAsia"/>
                <w:kern w:val="0"/>
                <w:sz w:val="24"/>
                <w:szCs w:val="24"/>
              </w:rPr>
              <w:t>经费保障</w:t>
            </w:r>
            <w:r>
              <w:rPr>
                <w:rFonts w:ascii="仿宋_GB2312" w:eastAsia="仿宋_GB2312" w:hAnsi="仿宋_GB2312" w:cs="仿宋_GB2312" w:hint="eastAsia"/>
                <w:kern w:val="0"/>
                <w:sz w:val="24"/>
                <w:szCs w:val="24"/>
              </w:rPr>
              <w:t xml:space="preserve">  </w:t>
            </w:r>
          </w:p>
        </w:tc>
        <w:tc>
          <w:tcPr>
            <w:tcW w:w="10205" w:type="dxa"/>
            <w:vMerge w:val="restart"/>
            <w:tcBorders>
              <w:top w:val="nil"/>
              <w:left w:val="single" w:sz="4" w:space="0" w:color="auto"/>
              <w:bottom w:val="single" w:sz="4" w:space="0" w:color="auto"/>
              <w:right w:val="single" w:sz="4" w:space="0" w:color="auto"/>
            </w:tcBorders>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语言文字工作经费管理严格、使用规范、效益显著。</w:t>
            </w:r>
          </w:p>
        </w:tc>
        <w:tc>
          <w:tcPr>
            <w:tcW w:w="946" w:type="dxa"/>
            <w:vMerge w:val="restart"/>
            <w:tcBorders>
              <w:top w:val="nil"/>
              <w:left w:val="single" w:sz="4" w:space="0" w:color="auto"/>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分</w:t>
            </w:r>
          </w:p>
        </w:tc>
        <w:tc>
          <w:tcPr>
            <w:tcW w:w="947" w:type="dxa"/>
            <w:vMerge w:val="restart"/>
            <w:tcBorders>
              <w:top w:val="nil"/>
              <w:left w:val="single" w:sz="4" w:space="0" w:color="auto"/>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10205"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947"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242" w:type="dxa"/>
            <w:vMerge w:val="restart"/>
            <w:tcBorders>
              <w:top w:val="nil"/>
              <w:left w:val="single" w:sz="8"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w:t>
            </w:r>
            <w:r>
              <w:rPr>
                <w:rFonts w:ascii="仿宋_GB2312" w:eastAsia="仿宋_GB2312" w:hAnsi="仿宋_GB2312" w:cs="仿宋_GB2312" w:hint="eastAsia"/>
                <w:kern w:val="0"/>
                <w:sz w:val="24"/>
                <w:szCs w:val="24"/>
              </w:rPr>
              <w:t xml:space="preserve">　　　　能力建设</w:t>
            </w:r>
            <w:r>
              <w:rPr>
                <w:rFonts w:ascii="仿宋_GB2312" w:eastAsia="仿宋_GB2312" w:hAnsi="仿宋_GB2312" w:cs="仿宋_GB2312" w:hint="eastAsia"/>
                <w:kern w:val="0"/>
                <w:sz w:val="24"/>
                <w:szCs w:val="24"/>
              </w:rPr>
              <w:t>(30</w:t>
            </w:r>
            <w:r>
              <w:rPr>
                <w:rFonts w:ascii="仿宋_GB2312" w:eastAsia="仿宋_GB2312" w:hAnsi="仿宋_GB2312" w:cs="仿宋_GB2312" w:hint="eastAsia"/>
                <w:kern w:val="0"/>
                <w:sz w:val="24"/>
                <w:szCs w:val="24"/>
              </w:rPr>
              <w:t>分</w:t>
            </w:r>
            <w:r>
              <w:rPr>
                <w:rFonts w:ascii="仿宋_GB2312" w:eastAsia="仿宋_GB2312" w:hAnsi="仿宋_GB2312" w:cs="仿宋_GB2312" w:hint="eastAsia"/>
                <w:kern w:val="0"/>
                <w:sz w:val="24"/>
                <w:szCs w:val="24"/>
              </w:rPr>
              <w:t>)</w:t>
            </w:r>
          </w:p>
        </w:tc>
        <w:tc>
          <w:tcPr>
            <w:tcW w:w="1276"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2-1       </w:t>
            </w:r>
            <w:r>
              <w:rPr>
                <w:rFonts w:ascii="仿宋_GB2312" w:eastAsia="仿宋_GB2312" w:hAnsi="仿宋_GB2312" w:cs="仿宋_GB2312" w:hint="eastAsia"/>
                <w:kern w:val="0"/>
                <w:sz w:val="24"/>
                <w:szCs w:val="24"/>
              </w:rPr>
              <w:t>规范意识</w:t>
            </w:r>
            <w:r>
              <w:rPr>
                <w:rFonts w:ascii="仿宋_GB2312" w:eastAsia="仿宋_GB2312" w:hAnsi="仿宋_GB2312" w:cs="仿宋_GB2312" w:hint="eastAsia"/>
                <w:kern w:val="0"/>
                <w:sz w:val="24"/>
                <w:szCs w:val="24"/>
              </w:rPr>
              <w:t xml:space="preserve">  </w:t>
            </w:r>
          </w:p>
        </w:tc>
        <w:tc>
          <w:tcPr>
            <w:tcW w:w="10205" w:type="dxa"/>
            <w:vMerge w:val="restart"/>
            <w:tcBorders>
              <w:top w:val="nil"/>
              <w:left w:val="single" w:sz="4" w:space="0" w:color="auto"/>
              <w:bottom w:val="single" w:sz="4" w:space="0" w:color="auto"/>
              <w:right w:val="single" w:sz="4" w:space="0" w:color="auto"/>
            </w:tcBorders>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教师熟悉国家语言文字方针政策和法律法规，自觉规范使用语言文字的意识强，学生有自觉规范使用语言文字的意识；高年级学生有较强的中华文化和语言的自豪感。</w:t>
            </w:r>
          </w:p>
        </w:tc>
        <w:tc>
          <w:tcPr>
            <w:tcW w:w="946" w:type="dxa"/>
            <w:vMerge w:val="restart"/>
            <w:tcBorders>
              <w:top w:val="nil"/>
              <w:left w:val="single" w:sz="4" w:space="0" w:color="auto"/>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分</w:t>
            </w:r>
          </w:p>
        </w:tc>
        <w:tc>
          <w:tcPr>
            <w:tcW w:w="947" w:type="dxa"/>
            <w:vMerge w:val="restart"/>
            <w:tcBorders>
              <w:top w:val="nil"/>
              <w:left w:val="single" w:sz="4" w:space="0" w:color="auto"/>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10205"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947"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94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tcBorders>
              <w:top w:val="nil"/>
              <w:left w:val="nil"/>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2-2       </w:t>
            </w:r>
            <w:r>
              <w:rPr>
                <w:rFonts w:ascii="仿宋_GB2312" w:eastAsia="仿宋_GB2312" w:hAnsi="仿宋_GB2312" w:cs="仿宋_GB2312" w:hint="eastAsia"/>
                <w:kern w:val="0"/>
                <w:sz w:val="24"/>
                <w:szCs w:val="24"/>
              </w:rPr>
              <w:t>教师能力</w:t>
            </w:r>
          </w:p>
        </w:tc>
        <w:tc>
          <w:tcPr>
            <w:tcW w:w="10205" w:type="dxa"/>
            <w:tcBorders>
              <w:top w:val="nil"/>
              <w:left w:val="nil"/>
              <w:bottom w:val="single" w:sz="4" w:space="0" w:color="auto"/>
              <w:right w:val="single" w:sz="4" w:space="0" w:color="auto"/>
            </w:tcBorders>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将语言文字应用能力纳入教师培训方案，强调培训效果。重视教师语言文字基本功训练，通过定期培训、综合培养等方式，提高教师语言文字应用能力，并适应教育教学的新要求。教师普通话水平达标。</w:t>
            </w:r>
          </w:p>
        </w:tc>
        <w:tc>
          <w:tcPr>
            <w:tcW w:w="946" w:type="dxa"/>
            <w:tcBorders>
              <w:top w:val="nil"/>
              <w:left w:val="nil"/>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分</w:t>
            </w:r>
          </w:p>
        </w:tc>
        <w:tc>
          <w:tcPr>
            <w:tcW w:w="947" w:type="dxa"/>
            <w:tcBorders>
              <w:top w:val="nil"/>
              <w:left w:val="nil"/>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2-3       </w:t>
            </w:r>
            <w:r>
              <w:rPr>
                <w:rFonts w:ascii="仿宋_GB2312" w:eastAsia="仿宋_GB2312" w:hAnsi="仿宋_GB2312" w:cs="仿宋_GB2312" w:hint="eastAsia"/>
                <w:kern w:val="0"/>
                <w:sz w:val="24"/>
                <w:szCs w:val="24"/>
              </w:rPr>
              <w:t>学生能力</w:t>
            </w:r>
          </w:p>
        </w:tc>
        <w:tc>
          <w:tcPr>
            <w:tcW w:w="10205" w:type="dxa"/>
            <w:vMerge w:val="restart"/>
            <w:tcBorders>
              <w:top w:val="nil"/>
              <w:left w:val="single" w:sz="4" w:space="0" w:color="auto"/>
              <w:bottom w:val="single" w:sz="4" w:space="0" w:color="auto"/>
              <w:right w:val="single" w:sz="4" w:space="0" w:color="auto"/>
            </w:tcBorders>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培养目标中有明确的语言文字规范意识和应用能力的要求，逐步提高学生语言文字应用能力，并达到课程标准的相应要求。学生能熟练规范地使用普通话；熟练掌握和使用应知应会的规范汉字和汉语拼音，书写规范。</w:t>
            </w:r>
          </w:p>
        </w:tc>
        <w:tc>
          <w:tcPr>
            <w:tcW w:w="946" w:type="dxa"/>
            <w:vMerge w:val="restart"/>
            <w:tcBorders>
              <w:top w:val="nil"/>
              <w:left w:val="single" w:sz="4" w:space="0" w:color="auto"/>
              <w:bottom w:val="single" w:sz="4" w:space="0" w:color="auto"/>
              <w:right w:val="single" w:sz="8" w:space="0" w:color="auto"/>
            </w:tcBorders>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分</w:t>
            </w:r>
          </w:p>
        </w:tc>
        <w:tc>
          <w:tcPr>
            <w:tcW w:w="947" w:type="dxa"/>
            <w:vMerge w:val="restart"/>
            <w:tcBorders>
              <w:top w:val="nil"/>
              <w:left w:val="single" w:sz="4" w:space="0" w:color="auto"/>
              <w:bottom w:val="single" w:sz="4" w:space="0" w:color="auto"/>
              <w:right w:val="single" w:sz="8" w:space="0" w:color="auto"/>
            </w:tcBorders>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242" w:type="dxa"/>
            <w:vMerge/>
            <w:tcBorders>
              <w:top w:val="nil"/>
              <w:left w:val="single" w:sz="8"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10205" w:type="dxa"/>
            <w:vMerge/>
            <w:tcBorders>
              <w:top w:val="nil"/>
              <w:left w:val="single" w:sz="4" w:space="0" w:color="auto"/>
              <w:bottom w:val="single" w:sz="4" w:space="0" w:color="auto"/>
              <w:right w:val="single" w:sz="4" w:space="0" w:color="auto"/>
            </w:tcBorders>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b/>
                <w:bCs/>
                <w:kern w:val="0"/>
                <w:sz w:val="24"/>
                <w:szCs w:val="24"/>
              </w:rPr>
            </w:pPr>
          </w:p>
        </w:tc>
        <w:tc>
          <w:tcPr>
            <w:tcW w:w="947" w:type="dxa"/>
            <w:vMerge/>
            <w:tcBorders>
              <w:top w:val="nil"/>
              <w:left w:val="single" w:sz="4" w:space="0" w:color="auto"/>
              <w:bottom w:val="single" w:sz="4" w:space="0" w:color="auto"/>
              <w:right w:val="single" w:sz="8" w:space="0" w:color="auto"/>
            </w:tcBorders>
            <w:vAlign w:val="center"/>
          </w:tcPr>
          <w:p w:rsidR="008A3C1A" w:rsidRDefault="008A3C1A">
            <w:pPr>
              <w:widowControl/>
              <w:jc w:val="left"/>
              <w:rPr>
                <w:rFonts w:ascii="仿宋_GB2312" w:eastAsia="仿宋_GB2312" w:hAnsi="仿宋_GB2312" w:cs="仿宋_GB2312"/>
                <w:kern w:val="0"/>
                <w:sz w:val="24"/>
                <w:szCs w:val="24"/>
              </w:rPr>
            </w:pPr>
          </w:p>
        </w:tc>
      </w:tr>
    </w:tbl>
    <w:p w:rsidR="008A3C1A" w:rsidRDefault="008A3C1A">
      <w:pPr>
        <w:rPr>
          <w:rFonts w:ascii="仿宋_GB2312" w:eastAsia="仿宋_GB2312" w:hAnsi="仿宋_GB2312" w:cs="仿宋_GB2312"/>
        </w:rPr>
      </w:pPr>
    </w:p>
    <w:tbl>
      <w:tblPr>
        <w:tblpPr w:leftFromText="180" w:rightFromText="180" w:vertAnchor="text" w:tblpXSpec="center" w:tblpY="1"/>
        <w:tblOverlap w:val="neve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1240"/>
        <w:gridCol w:w="10423"/>
        <w:gridCol w:w="946"/>
        <w:gridCol w:w="947"/>
      </w:tblGrid>
      <w:tr w:rsidR="008A3C1A">
        <w:trPr>
          <w:trHeight w:val="312"/>
          <w:jc w:val="center"/>
        </w:trPr>
        <w:tc>
          <w:tcPr>
            <w:tcW w:w="106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lastRenderedPageBreak/>
              <w:t>3</w:t>
            </w:r>
            <w:r>
              <w:rPr>
                <w:rFonts w:ascii="仿宋_GB2312" w:eastAsia="仿宋_GB2312" w:hAnsi="仿宋_GB2312" w:cs="仿宋_GB2312" w:hint="eastAsia"/>
                <w:kern w:val="0"/>
                <w:sz w:val="24"/>
                <w:szCs w:val="24"/>
              </w:rPr>
              <w:t xml:space="preserve">　　　　教育教学</w:t>
            </w:r>
            <w:r>
              <w:rPr>
                <w:rFonts w:ascii="仿宋_GB2312" w:eastAsia="仿宋_GB2312" w:hAnsi="仿宋_GB2312" w:cs="仿宋_GB2312" w:hint="eastAsia"/>
                <w:kern w:val="0"/>
                <w:sz w:val="24"/>
                <w:szCs w:val="24"/>
              </w:rPr>
              <w:t>(25</w:t>
            </w:r>
            <w:r>
              <w:rPr>
                <w:rFonts w:ascii="仿宋_GB2312" w:eastAsia="仿宋_GB2312" w:hAnsi="仿宋_GB2312" w:cs="仿宋_GB2312" w:hint="eastAsia"/>
                <w:kern w:val="0"/>
                <w:sz w:val="24"/>
                <w:szCs w:val="24"/>
              </w:rPr>
              <w:t>分</w:t>
            </w:r>
            <w:r>
              <w:rPr>
                <w:rFonts w:ascii="仿宋_GB2312" w:eastAsia="仿宋_GB2312" w:hAnsi="仿宋_GB2312" w:cs="仿宋_GB2312" w:hint="eastAsia"/>
                <w:kern w:val="0"/>
                <w:sz w:val="24"/>
                <w:szCs w:val="24"/>
              </w:rPr>
              <w:t>)</w:t>
            </w:r>
          </w:p>
        </w:tc>
        <w:tc>
          <w:tcPr>
            <w:tcW w:w="124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3-1        </w:t>
            </w:r>
            <w:r>
              <w:rPr>
                <w:rFonts w:ascii="仿宋_GB2312" w:eastAsia="仿宋_GB2312" w:hAnsi="仿宋_GB2312" w:cs="仿宋_GB2312" w:hint="eastAsia"/>
                <w:kern w:val="0"/>
                <w:sz w:val="24"/>
                <w:szCs w:val="24"/>
              </w:rPr>
              <w:t>教学活动</w:t>
            </w:r>
          </w:p>
        </w:tc>
        <w:tc>
          <w:tcPr>
            <w:tcW w:w="10423" w:type="dxa"/>
            <w:vMerge w:val="restart"/>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国家通用语言文字为基本的教育教学用语用字。教师在授课、教案、讲义、板书、课件、试卷、作业批改等教育教学活动中的用语、用字和书写规范。语文教师熟悉、掌握相关语言文字规范标准。建立学生语言文字应用能力培养方案，各学科教学中都重视学生语言文字规范意识和应用能力的培养和训练。语文课重视学生口语交际能力的培养和训练，有日常和定期的口语考核。</w:t>
            </w:r>
          </w:p>
        </w:tc>
        <w:tc>
          <w:tcPr>
            <w:tcW w:w="946"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分</w:t>
            </w:r>
          </w:p>
        </w:tc>
        <w:tc>
          <w:tcPr>
            <w:tcW w:w="947" w:type="dxa"/>
            <w:vMerge w:val="restart"/>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0423"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7" w:type="dxa"/>
            <w:vMerge/>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3-2        </w:t>
            </w:r>
            <w:r>
              <w:rPr>
                <w:rFonts w:ascii="仿宋_GB2312" w:eastAsia="仿宋_GB2312" w:hAnsi="仿宋_GB2312" w:cs="仿宋_GB2312" w:hint="eastAsia"/>
                <w:kern w:val="0"/>
                <w:sz w:val="24"/>
                <w:szCs w:val="24"/>
              </w:rPr>
              <w:t>文化传承</w:t>
            </w:r>
          </w:p>
        </w:tc>
        <w:tc>
          <w:tcPr>
            <w:tcW w:w="10423" w:type="dxa"/>
            <w:vMerge w:val="restart"/>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完善中华优秀传统文化教育体系，注重中华民族优秀文化传统和革命传统教育教学，将爱父母、爱家乡、爱祖国的教育贯穿于各个教育环节。学校广泛开展中华经典诵、写、讲等活动；教师自觉成为传承弘扬中华优秀文化的表率；学生有相关兴趣小组或社团，学生对中华优秀文化有认同感、自豪感和自信心。</w:t>
            </w:r>
          </w:p>
        </w:tc>
        <w:tc>
          <w:tcPr>
            <w:tcW w:w="946"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分</w:t>
            </w:r>
          </w:p>
        </w:tc>
        <w:tc>
          <w:tcPr>
            <w:tcW w:w="947" w:type="dxa"/>
            <w:vMerge w:val="restart"/>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0423"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7" w:type="dxa"/>
            <w:vMerge/>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06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4</w:t>
            </w:r>
            <w:r>
              <w:rPr>
                <w:rFonts w:ascii="仿宋_GB2312" w:eastAsia="仿宋_GB2312" w:hAnsi="仿宋_GB2312" w:cs="仿宋_GB2312" w:hint="eastAsia"/>
                <w:kern w:val="0"/>
                <w:sz w:val="24"/>
                <w:szCs w:val="24"/>
              </w:rPr>
              <w:t xml:space="preserve">　　　　宣传普及</w:t>
            </w: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分</w:t>
            </w:r>
            <w:r>
              <w:rPr>
                <w:rFonts w:ascii="仿宋_GB2312" w:eastAsia="仿宋_GB2312" w:hAnsi="仿宋_GB2312" w:cs="仿宋_GB2312" w:hint="eastAsia"/>
                <w:kern w:val="0"/>
                <w:sz w:val="24"/>
                <w:szCs w:val="24"/>
              </w:rPr>
              <w:t>)</w:t>
            </w:r>
          </w:p>
        </w:tc>
        <w:tc>
          <w:tcPr>
            <w:tcW w:w="124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4-1        </w:t>
            </w:r>
            <w:r>
              <w:rPr>
                <w:rFonts w:ascii="仿宋_GB2312" w:eastAsia="仿宋_GB2312" w:hAnsi="仿宋_GB2312" w:cs="仿宋_GB2312" w:hint="eastAsia"/>
                <w:kern w:val="0"/>
                <w:sz w:val="24"/>
                <w:szCs w:val="24"/>
              </w:rPr>
              <w:t>法制宣传</w:t>
            </w:r>
          </w:p>
        </w:tc>
        <w:tc>
          <w:tcPr>
            <w:tcW w:w="10423" w:type="dxa"/>
            <w:vMerge w:val="restart"/>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将语言文字方针政策、法律法规和规范标准列入学校普法宣传教育，网站、信息屏或宣传栏中有相关内容并定期更新。教职工熟悉掌握、高年级学生基本了解国家语言文字方针政策、法律法规和规范标准。</w:t>
            </w:r>
          </w:p>
        </w:tc>
        <w:tc>
          <w:tcPr>
            <w:tcW w:w="946"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分</w:t>
            </w:r>
          </w:p>
        </w:tc>
        <w:tc>
          <w:tcPr>
            <w:tcW w:w="947" w:type="dxa"/>
            <w:vMerge w:val="restart"/>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0423"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7" w:type="dxa"/>
            <w:vMerge/>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4-2       </w:t>
            </w:r>
            <w:r>
              <w:rPr>
                <w:rFonts w:ascii="仿宋_GB2312" w:eastAsia="仿宋_GB2312" w:hAnsi="仿宋_GB2312" w:cs="仿宋_GB2312" w:hint="eastAsia"/>
                <w:kern w:val="0"/>
                <w:sz w:val="24"/>
                <w:szCs w:val="24"/>
              </w:rPr>
              <w:t>推广普及</w:t>
            </w:r>
          </w:p>
        </w:tc>
        <w:tc>
          <w:tcPr>
            <w:tcW w:w="10423" w:type="dxa"/>
            <w:vMerge w:val="restart"/>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每年推广普通话宣传周组织开展形式多样、寓教于乐的宣传活动。积极发挥学校在家校互动中的重要作用和对社会的辐射带动作用，带动社会研究和实践，并通过“小手拉大手”等活动，为家长和社会提供有关语言文字规范化的咨询或培训服务。</w:t>
            </w:r>
          </w:p>
        </w:tc>
        <w:tc>
          <w:tcPr>
            <w:tcW w:w="946"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分</w:t>
            </w:r>
          </w:p>
        </w:tc>
        <w:tc>
          <w:tcPr>
            <w:tcW w:w="947" w:type="dxa"/>
            <w:vMerge w:val="restart"/>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0423"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7" w:type="dxa"/>
            <w:vMerge/>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06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5</w:t>
            </w:r>
            <w:r>
              <w:rPr>
                <w:rFonts w:ascii="仿宋_GB2312" w:eastAsia="仿宋_GB2312" w:hAnsi="仿宋_GB2312" w:cs="仿宋_GB2312" w:hint="eastAsia"/>
                <w:kern w:val="0"/>
                <w:sz w:val="24"/>
                <w:szCs w:val="24"/>
              </w:rPr>
              <w:t xml:space="preserve">　　　　科学发展</w:t>
            </w: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分</w:t>
            </w:r>
            <w:r>
              <w:rPr>
                <w:rFonts w:ascii="仿宋_GB2312" w:eastAsia="仿宋_GB2312" w:hAnsi="仿宋_GB2312" w:cs="仿宋_GB2312" w:hint="eastAsia"/>
                <w:kern w:val="0"/>
                <w:sz w:val="24"/>
                <w:szCs w:val="24"/>
              </w:rPr>
              <w:t>)</w:t>
            </w:r>
          </w:p>
        </w:tc>
        <w:tc>
          <w:tcPr>
            <w:tcW w:w="124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5-1       </w:t>
            </w:r>
            <w:r>
              <w:rPr>
                <w:rFonts w:ascii="仿宋_GB2312" w:eastAsia="仿宋_GB2312" w:hAnsi="仿宋_GB2312" w:cs="仿宋_GB2312" w:hint="eastAsia"/>
                <w:kern w:val="0"/>
                <w:sz w:val="24"/>
                <w:szCs w:val="24"/>
              </w:rPr>
              <w:t>科学研究</w:t>
            </w:r>
          </w:p>
        </w:tc>
        <w:tc>
          <w:tcPr>
            <w:tcW w:w="10423" w:type="dxa"/>
            <w:vMerge w:val="restart"/>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重视学生语言学习方法研究，有可以指导教育实践的研究成果。研究建立学生语言文字应用能力评价体系，重视并开展学生口语测试评价。积极开展中华优秀传统文化教育教学方法研究。</w:t>
            </w:r>
          </w:p>
        </w:tc>
        <w:tc>
          <w:tcPr>
            <w:tcW w:w="946"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分</w:t>
            </w:r>
          </w:p>
        </w:tc>
        <w:tc>
          <w:tcPr>
            <w:tcW w:w="947" w:type="dxa"/>
            <w:vMerge w:val="restart"/>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0423"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7" w:type="dxa"/>
            <w:vMerge/>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5-2       </w:t>
            </w:r>
            <w:r>
              <w:rPr>
                <w:rFonts w:ascii="仿宋_GB2312" w:eastAsia="仿宋_GB2312" w:hAnsi="仿宋_GB2312" w:cs="仿宋_GB2312" w:hint="eastAsia"/>
                <w:kern w:val="0"/>
                <w:sz w:val="24"/>
                <w:szCs w:val="24"/>
              </w:rPr>
              <w:t>创新实践</w:t>
            </w:r>
          </w:p>
        </w:tc>
        <w:tc>
          <w:tcPr>
            <w:tcW w:w="10423" w:type="dxa"/>
            <w:vMerge w:val="restart"/>
            <w:vAlign w:val="center"/>
          </w:tcPr>
          <w:p w:rsidR="008A3C1A" w:rsidRDefault="00221D97">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结合本地和本校实际情况及办学特色，积极探索学校语言文字工作新途径、新方法。</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创造性地开展各种语言文化活动，形成品牌或传统。自主研发语言文字校本课程、教材或教辅材料，取得良好的教育教学效果。</w:t>
            </w:r>
          </w:p>
        </w:tc>
        <w:tc>
          <w:tcPr>
            <w:tcW w:w="946" w:type="dxa"/>
            <w:vMerge w:val="restart"/>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分</w:t>
            </w:r>
          </w:p>
        </w:tc>
        <w:tc>
          <w:tcPr>
            <w:tcW w:w="947" w:type="dxa"/>
            <w:vMerge w:val="restart"/>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312"/>
          <w:jc w:val="center"/>
        </w:trPr>
        <w:tc>
          <w:tcPr>
            <w:tcW w:w="106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240" w:type="dxa"/>
            <w:vMerge/>
            <w:vAlign w:val="center"/>
          </w:tcPr>
          <w:p w:rsidR="008A3C1A" w:rsidRDefault="008A3C1A">
            <w:pPr>
              <w:widowControl/>
              <w:jc w:val="left"/>
              <w:rPr>
                <w:rFonts w:ascii="仿宋_GB2312" w:eastAsia="仿宋_GB2312" w:hAnsi="仿宋_GB2312" w:cs="仿宋_GB2312"/>
                <w:kern w:val="0"/>
                <w:sz w:val="24"/>
                <w:szCs w:val="24"/>
              </w:rPr>
            </w:pPr>
          </w:p>
        </w:tc>
        <w:tc>
          <w:tcPr>
            <w:tcW w:w="10423"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6" w:type="dxa"/>
            <w:vMerge/>
            <w:vAlign w:val="center"/>
          </w:tcPr>
          <w:p w:rsidR="008A3C1A" w:rsidRDefault="008A3C1A">
            <w:pPr>
              <w:widowControl/>
              <w:jc w:val="left"/>
              <w:rPr>
                <w:rFonts w:ascii="仿宋_GB2312" w:eastAsia="仿宋_GB2312" w:hAnsi="仿宋_GB2312" w:cs="仿宋_GB2312"/>
                <w:kern w:val="0"/>
                <w:sz w:val="24"/>
                <w:szCs w:val="24"/>
              </w:rPr>
            </w:pPr>
          </w:p>
        </w:tc>
        <w:tc>
          <w:tcPr>
            <w:tcW w:w="947" w:type="dxa"/>
            <w:vMerge/>
            <w:vAlign w:val="center"/>
          </w:tcPr>
          <w:p w:rsidR="008A3C1A" w:rsidRDefault="008A3C1A">
            <w:pPr>
              <w:widowControl/>
              <w:jc w:val="left"/>
              <w:rPr>
                <w:rFonts w:ascii="仿宋_GB2312" w:eastAsia="仿宋_GB2312" w:hAnsi="仿宋_GB2312" w:cs="仿宋_GB2312"/>
                <w:kern w:val="0"/>
                <w:sz w:val="24"/>
                <w:szCs w:val="24"/>
              </w:rPr>
            </w:pPr>
          </w:p>
        </w:tc>
      </w:tr>
      <w:tr w:rsidR="008A3C1A">
        <w:trPr>
          <w:trHeight w:val="662"/>
          <w:jc w:val="center"/>
        </w:trPr>
        <w:tc>
          <w:tcPr>
            <w:tcW w:w="12723" w:type="dxa"/>
            <w:gridSpan w:val="3"/>
            <w:vAlign w:val="center"/>
          </w:tcPr>
          <w:p w:rsidR="008A3C1A" w:rsidRDefault="00221D97">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总分</w:t>
            </w:r>
          </w:p>
        </w:tc>
        <w:tc>
          <w:tcPr>
            <w:tcW w:w="946" w:type="dxa"/>
            <w:vAlign w:val="center"/>
          </w:tcPr>
          <w:p w:rsidR="008A3C1A" w:rsidRDefault="00221D97">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100</w:t>
            </w:r>
            <w:r>
              <w:rPr>
                <w:rFonts w:ascii="仿宋_GB2312" w:eastAsia="仿宋_GB2312" w:hAnsi="仿宋_GB2312" w:cs="仿宋_GB2312" w:hint="eastAsia"/>
                <w:kern w:val="0"/>
                <w:sz w:val="24"/>
                <w:szCs w:val="24"/>
              </w:rPr>
              <w:t>分</w:t>
            </w:r>
          </w:p>
        </w:tc>
        <w:tc>
          <w:tcPr>
            <w:tcW w:w="947" w:type="dxa"/>
            <w:vAlign w:val="center"/>
          </w:tcPr>
          <w:p w:rsidR="008A3C1A" w:rsidRDefault="008A3C1A">
            <w:pPr>
              <w:widowControl/>
              <w:jc w:val="center"/>
              <w:rPr>
                <w:rFonts w:ascii="仿宋_GB2312" w:eastAsia="仿宋_GB2312" w:hAnsi="仿宋_GB2312" w:cs="仿宋_GB2312"/>
                <w:kern w:val="0"/>
                <w:sz w:val="24"/>
                <w:szCs w:val="24"/>
              </w:rPr>
            </w:pPr>
          </w:p>
        </w:tc>
      </w:tr>
      <w:tr w:rsidR="008A3C1A">
        <w:trPr>
          <w:trHeight w:val="870"/>
          <w:jc w:val="center"/>
        </w:trPr>
        <w:tc>
          <w:tcPr>
            <w:tcW w:w="14616" w:type="dxa"/>
            <w:gridSpan w:val="5"/>
            <w:vAlign w:val="center"/>
          </w:tcPr>
          <w:p w:rsidR="008A3C1A" w:rsidRDefault="00221D97">
            <w:pPr>
              <w:widowControl/>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说明：</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满分为</w:t>
            </w:r>
            <w:r>
              <w:rPr>
                <w:rFonts w:ascii="仿宋_GB2312" w:eastAsia="仿宋_GB2312" w:hAnsi="仿宋_GB2312" w:cs="仿宋_GB2312" w:hint="eastAsia"/>
                <w:kern w:val="0"/>
                <w:sz w:val="24"/>
                <w:szCs w:val="24"/>
              </w:rPr>
              <w:t>100</w:t>
            </w:r>
            <w:r>
              <w:rPr>
                <w:rFonts w:ascii="仿宋_GB2312" w:eastAsia="仿宋_GB2312" w:hAnsi="仿宋_GB2312" w:cs="仿宋_GB2312" w:hint="eastAsia"/>
                <w:kern w:val="0"/>
                <w:sz w:val="24"/>
                <w:szCs w:val="24"/>
              </w:rPr>
              <w:t>分，</w:t>
            </w:r>
            <w:r>
              <w:rPr>
                <w:rFonts w:ascii="仿宋_GB2312" w:eastAsia="仿宋_GB2312" w:hAnsi="仿宋_GB2312" w:cs="仿宋_GB2312" w:hint="eastAsia"/>
                <w:kern w:val="0"/>
                <w:sz w:val="24"/>
                <w:szCs w:val="24"/>
              </w:rPr>
              <w:t>70</w:t>
            </w:r>
            <w:r>
              <w:rPr>
                <w:rFonts w:ascii="仿宋_GB2312" w:eastAsia="仿宋_GB2312" w:hAnsi="仿宋_GB2312" w:cs="仿宋_GB2312" w:hint="eastAsia"/>
                <w:kern w:val="0"/>
                <w:sz w:val="24"/>
                <w:szCs w:val="24"/>
              </w:rPr>
              <w:t>分及以上为合格，其他等级要求由各地自行制定；</w:t>
            </w:r>
            <w:r>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指标</w:t>
            </w:r>
            <w:r>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中，学校名牌、公章等用字不规范的此项不得分；</w:t>
            </w: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指标</w:t>
            </w:r>
            <w:r>
              <w:rPr>
                <w:rFonts w:ascii="仿宋_GB2312" w:eastAsia="仿宋_GB2312" w:hAnsi="仿宋_GB2312" w:cs="仿宋_GB2312" w:hint="eastAsia"/>
                <w:kern w:val="0"/>
                <w:sz w:val="24"/>
                <w:szCs w:val="24"/>
              </w:rPr>
              <w:t>2-2</w:t>
            </w:r>
            <w:r>
              <w:rPr>
                <w:rFonts w:ascii="仿宋_GB2312" w:eastAsia="仿宋_GB2312" w:hAnsi="仿宋_GB2312" w:cs="仿宋_GB2312" w:hint="eastAsia"/>
                <w:kern w:val="0"/>
                <w:sz w:val="24"/>
                <w:szCs w:val="24"/>
              </w:rPr>
              <w:t>中，普通话达标率低于</w:t>
            </w:r>
            <w:r>
              <w:rPr>
                <w:rFonts w:ascii="仿宋_GB2312" w:eastAsia="仿宋_GB2312" w:hAnsi="仿宋_GB2312" w:cs="仿宋_GB2312" w:hint="eastAsia"/>
                <w:kern w:val="0"/>
                <w:sz w:val="24"/>
                <w:szCs w:val="24"/>
              </w:rPr>
              <w:t>98%</w:t>
            </w:r>
            <w:r>
              <w:rPr>
                <w:rFonts w:ascii="仿宋_GB2312" w:eastAsia="仿宋_GB2312" w:hAnsi="仿宋_GB2312" w:cs="仿宋_GB2312" w:hint="eastAsia"/>
                <w:kern w:val="0"/>
                <w:sz w:val="24"/>
                <w:szCs w:val="24"/>
              </w:rPr>
              <w:t>的此项不得分；</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各地可自行设定加分项目，总分不超过</w:t>
            </w: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分。</w:t>
            </w:r>
          </w:p>
        </w:tc>
      </w:tr>
    </w:tbl>
    <w:p w:rsidR="008A3C1A" w:rsidRDefault="00221D97">
      <w:pPr>
        <w:spacing w:line="560" w:lineRule="exact"/>
        <w:rPr>
          <w:rFonts w:ascii="Times New Roman" w:eastAsia="仿宋" w:hAnsi="仿宋"/>
          <w:color w:val="000000"/>
          <w:kern w:val="0"/>
          <w:sz w:val="32"/>
          <w:szCs w:val="32"/>
        </w:rPr>
      </w:pPr>
      <w:bookmarkStart w:id="0" w:name="_GoBack"/>
      <w:bookmarkEnd w:id="0"/>
      <w:r>
        <w:rPr>
          <w:rFonts w:ascii="仿宋_GB2312" w:eastAsia="仿宋_GB2312" w:hAnsi="仿宋_GB2312" w:cs="仿宋_GB2312" w:hint="eastAsia"/>
          <w:color w:val="000000"/>
          <w:kern w:val="0"/>
          <w:sz w:val="32"/>
          <w:szCs w:val="32"/>
        </w:rPr>
        <w:br w:type="textWrapping" w:clear="all"/>
      </w:r>
    </w:p>
    <w:p w:rsidR="008A3C1A" w:rsidRDefault="008A3C1A"/>
    <w:sectPr w:rsidR="008A3C1A" w:rsidSect="008A3C1A">
      <w:footerReference w:type="default" r:id="rId7"/>
      <w:pgSz w:w="16838" w:h="11906" w:orient="landscape"/>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97" w:rsidRDefault="00221D97" w:rsidP="008A3C1A">
      <w:r>
        <w:separator/>
      </w:r>
    </w:p>
  </w:endnote>
  <w:endnote w:type="continuationSeparator" w:id="0">
    <w:p w:rsidR="00221D97" w:rsidRDefault="00221D97" w:rsidP="008A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1A" w:rsidRDefault="008A3C1A">
    <w:pPr>
      <w:pStyle w:val="a3"/>
      <w:jc w:val="center"/>
    </w:pPr>
    <w:r w:rsidRPr="008A3C1A">
      <w:fldChar w:fldCharType="begin"/>
    </w:r>
    <w:r w:rsidR="00221D97">
      <w:instrText xml:space="preserve"> PAGE   \* MERGEFORMAT </w:instrText>
    </w:r>
    <w:r w:rsidRPr="008A3C1A">
      <w:fldChar w:fldCharType="separate"/>
    </w:r>
    <w:r w:rsidR="002804BC" w:rsidRPr="002804BC">
      <w:rPr>
        <w:noProof/>
        <w:lang w:val="zh-CN"/>
      </w:rPr>
      <w:t>1</w:t>
    </w:r>
    <w:r>
      <w:rPr>
        <w:lang w:val="zh-CN"/>
      </w:rPr>
      <w:fldChar w:fldCharType="end"/>
    </w:r>
  </w:p>
  <w:p w:rsidR="008A3C1A" w:rsidRDefault="008A3C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97" w:rsidRDefault="00221D97" w:rsidP="008A3C1A">
      <w:r>
        <w:separator/>
      </w:r>
    </w:p>
  </w:footnote>
  <w:footnote w:type="continuationSeparator" w:id="0">
    <w:p w:rsidR="00221D97" w:rsidRDefault="00221D97" w:rsidP="008A3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B7F"/>
    <w:rsid w:val="00007030"/>
    <w:rsid w:val="0019353E"/>
    <w:rsid w:val="00206C48"/>
    <w:rsid w:val="00221D97"/>
    <w:rsid w:val="002804BC"/>
    <w:rsid w:val="003F7455"/>
    <w:rsid w:val="0070482B"/>
    <w:rsid w:val="008A3C1A"/>
    <w:rsid w:val="00953C0C"/>
    <w:rsid w:val="00C81B7F"/>
    <w:rsid w:val="09A252AE"/>
    <w:rsid w:val="0FBC3670"/>
    <w:rsid w:val="324F18BA"/>
    <w:rsid w:val="52A1154D"/>
    <w:rsid w:val="547A2B99"/>
    <w:rsid w:val="5C3543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C1A"/>
    <w:pPr>
      <w:widowControl w:val="0"/>
      <w:jc w:val="both"/>
    </w:pPr>
    <w:rPr>
      <w:rFonts w:ascii="Calibri" w:hAnsi="Calibri" w:cs="黑体"/>
      <w:kern w:val="2"/>
      <w:sz w:val="21"/>
      <w:szCs w:val="22"/>
    </w:rPr>
  </w:style>
  <w:style w:type="paragraph" w:styleId="1">
    <w:name w:val="heading 1"/>
    <w:basedOn w:val="a"/>
    <w:next w:val="a"/>
    <w:qFormat/>
    <w:rsid w:val="008A3C1A"/>
    <w:pPr>
      <w:spacing w:before="100" w:beforeAutospacing="1" w:after="100"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A3C1A"/>
    <w:pPr>
      <w:tabs>
        <w:tab w:val="center" w:pos="4153"/>
        <w:tab w:val="right" w:pos="8306"/>
      </w:tabs>
      <w:snapToGrid w:val="0"/>
      <w:jc w:val="left"/>
    </w:pPr>
    <w:rPr>
      <w:sz w:val="18"/>
      <w:szCs w:val="18"/>
    </w:rPr>
  </w:style>
  <w:style w:type="paragraph" w:styleId="a4">
    <w:name w:val="header"/>
    <w:basedOn w:val="a"/>
    <w:link w:val="Char"/>
    <w:qFormat/>
    <w:rsid w:val="008A3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8A3C1A"/>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恩州语字〔2018〕2号</dc:title>
  <dc:creator>Administrator</dc:creator>
  <cp:lastModifiedBy>Administrator</cp:lastModifiedBy>
  <cp:revision>5</cp:revision>
  <cp:lastPrinted>2020-11-09T06:38:00Z</cp:lastPrinted>
  <dcterms:created xsi:type="dcterms:W3CDTF">2018-03-29T07:36:00Z</dcterms:created>
  <dcterms:modified xsi:type="dcterms:W3CDTF">2020-11-09T06:39:00Z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